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bookmarkStart w:id="0" w:name="_GoBack"/>
            <w:bookmarkEnd w:id="0"/>
            <w:r>
              <w:rPr>
                <w:rtl/>
              </w:rPr>
              <w:t xml:space="preserve"> </w:t>
            </w: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B4C26" w:rsidRDefault="00924442">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tcPr>
          <w:p w:rsidR="0094424E" w:rsidRPr="00924442" w:rsidRDefault="0094424E" w:rsidP="00D44968">
            <w:pPr>
              <w:suppressLineNumbers/>
              <w:rPr>
                <w:rFonts w:ascii="Arial" w:hAnsi="Arial"/>
                <w:b/>
                <w:bCs/>
                <w:noProof w:val="0"/>
                <w:sz w:val="26"/>
                <w:szCs w:val="26"/>
                <w:rtl/>
              </w:rPr>
            </w:pPr>
          </w:p>
          <w:p w:rsidR="0094424E" w:rsidRPr="00924442" w:rsidRDefault="007C2453" w:rsidP="00C94DFD">
            <w:pPr>
              <w:suppressLineNumbers/>
              <w:spacing w:line="360" w:lineRule="auto"/>
              <w:rPr>
                <w:b/>
                <w:bCs/>
                <w:noProof w:val="0"/>
                <w:sz w:val="26"/>
                <w:szCs w:val="26"/>
              </w:rPr>
            </w:pPr>
            <w:r w:rsidRPr="00924442">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C94DFD">
                  <w:rPr>
                    <w:rFonts w:ascii="Arial" w:hAnsi="Arial" w:hint="cs"/>
                    <w:b/>
                    <w:bCs/>
                    <w:noProof w:val="0"/>
                    <w:sz w:val="26"/>
                    <w:szCs w:val="26"/>
                    <w:rtl/>
                  </w:rPr>
                  <w:t>מ. ו</w:t>
                </w:r>
                <w:r w:rsidR="00924442" w:rsidRPr="00924442">
                  <w:rPr>
                    <w:rFonts w:ascii="Arial" w:hAnsi="Arial"/>
                    <w:b/>
                    <w:bCs/>
                    <w:noProof w:val="0"/>
                    <w:sz w:val="26"/>
                    <w:szCs w:val="26"/>
                    <w:rtl/>
                  </w:rPr>
                  <w:br/>
                </w:r>
              </w:sdtContent>
            </w:sdt>
            <w:r w:rsidR="00B859C5" w:rsidRPr="00924442">
              <w:rPr>
                <w:rFonts w:hint="cs"/>
                <w:sz w:val="26"/>
                <w:szCs w:val="26"/>
                <w:rtl/>
              </w:rPr>
              <w:t xml:space="preserve"> </w:t>
            </w:r>
            <w:r w:rsidR="00B859C5" w:rsidRPr="00924442">
              <w:rPr>
                <w:rFonts w:ascii="Arial" w:hAnsi="Arial"/>
                <w:b/>
                <w:bCs/>
                <w:noProof w:val="0"/>
                <w:sz w:val="26"/>
                <w:szCs w:val="26"/>
                <w:rtl/>
              </w:rPr>
              <w:t>ע"י ב"כ עוה"ד</w:t>
            </w:r>
            <w:r w:rsidR="00924442" w:rsidRPr="00924442">
              <w:rPr>
                <w:rFonts w:hint="cs"/>
                <w:b/>
                <w:bCs/>
                <w:noProof w:val="0"/>
                <w:sz w:val="26"/>
                <w:szCs w:val="26"/>
                <w:rtl/>
              </w:rPr>
              <w:t xml:space="preserve"> אלי קדמי </w:t>
            </w:r>
          </w:p>
        </w:tc>
      </w:tr>
      <w:tr w:rsidR="0094424E">
        <w:trPr>
          <w:jc w:val="center"/>
        </w:trPr>
        <w:tc>
          <w:tcPr>
            <w:tcW w:w="8820" w:type="dxa"/>
            <w:gridSpan w:val="3"/>
          </w:tcPr>
          <w:p w:rsidR="0094424E" w:rsidRPr="00924442" w:rsidRDefault="0094424E" w:rsidP="00D44968">
            <w:pPr>
              <w:suppressLineNumbers/>
              <w:rPr>
                <w:rFonts w:ascii="Arial" w:hAnsi="Arial"/>
                <w:b/>
                <w:bCs/>
                <w:noProof w:val="0"/>
                <w:sz w:val="26"/>
                <w:szCs w:val="26"/>
                <w:rtl/>
              </w:rPr>
            </w:pPr>
          </w:p>
          <w:p w:rsidR="0094424E" w:rsidRPr="00924442" w:rsidRDefault="0094424E" w:rsidP="00D44968">
            <w:pPr>
              <w:suppressLineNumbers/>
              <w:jc w:val="center"/>
              <w:rPr>
                <w:rFonts w:ascii="Arial" w:hAnsi="Arial"/>
                <w:b/>
                <w:bCs/>
                <w:noProof w:val="0"/>
                <w:sz w:val="26"/>
                <w:szCs w:val="26"/>
                <w:rtl/>
              </w:rPr>
            </w:pPr>
            <w:r w:rsidRPr="00924442">
              <w:rPr>
                <w:rFonts w:ascii="Arial" w:hAnsi="Arial"/>
                <w:b/>
                <w:bCs/>
                <w:noProof w:val="0"/>
                <w:sz w:val="26"/>
                <w:szCs w:val="26"/>
                <w:rtl/>
              </w:rPr>
              <w:t>נגד</w:t>
            </w:r>
          </w:p>
          <w:p w:rsidR="0094424E" w:rsidRPr="00924442"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156D43" w:rsidP="009E461A">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משיבים</w:t>
                </w:r>
              </w:sdtContent>
            </w:sdt>
          </w:p>
        </w:tc>
        <w:tc>
          <w:tcPr>
            <w:tcW w:w="5571" w:type="dxa"/>
          </w:tcPr>
          <w:p w:rsidR="00CF6BB7" w:rsidRPr="00924442" w:rsidRDefault="00156D43" w:rsidP="00C94DFD">
            <w:pPr>
              <w:suppressLineNumbers/>
              <w:rPr>
                <w:sz w:val="26"/>
                <w:szCs w:val="26"/>
                <w:rtl/>
              </w:rPr>
            </w:pPr>
            <w:sdt>
              <w:sdtPr>
                <w:rPr>
                  <w:sz w:val="26"/>
                  <w:szCs w:val="26"/>
                  <w:rtl/>
                </w:rPr>
                <w:alias w:val="1571"/>
                <w:tag w:val="1571"/>
                <w:id w:val="1028836282"/>
                <w:text w:multiLine="1"/>
              </w:sdtPr>
              <w:sdtEndPr/>
              <w:sdtContent>
                <w:r w:rsidR="00B859C5" w:rsidRPr="00924442">
                  <w:rPr>
                    <w:rFonts w:ascii="Arial" w:hAnsi="Arial"/>
                    <w:b/>
                    <w:bCs/>
                    <w:noProof w:val="0"/>
                    <w:sz w:val="26"/>
                    <w:szCs w:val="26"/>
                    <w:rtl/>
                  </w:rPr>
                  <w:t>1</w:t>
                </w:r>
              </w:sdtContent>
            </w:sdt>
            <w:r w:rsidR="0094424E" w:rsidRPr="00924442">
              <w:rPr>
                <w:rFonts w:ascii="Arial" w:hAnsi="Arial"/>
                <w:b/>
                <w:bCs/>
                <w:noProof w:val="0"/>
                <w:sz w:val="26"/>
                <w:szCs w:val="26"/>
                <w:rtl/>
              </w:rPr>
              <w:t>.</w:t>
            </w:r>
            <w:r w:rsidR="007C2453" w:rsidRPr="00924442">
              <w:rPr>
                <w:rFonts w:ascii="Arial" w:hAnsi="Arial" w:hint="cs"/>
                <w:b/>
                <w:bCs/>
                <w:noProof w:val="0"/>
                <w:sz w:val="26"/>
                <w:szCs w:val="26"/>
                <w:rtl/>
              </w:rPr>
              <w:t xml:space="preserve"> </w:t>
            </w:r>
            <w:r w:rsidR="00C94DFD">
              <w:rPr>
                <w:rFonts w:ascii="Arial" w:hAnsi="Arial" w:hint="cs"/>
                <w:b/>
                <w:bCs/>
                <w:noProof w:val="0"/>
                <w:sz w:val="26"/>
                <w:szCs w:val="26"/>
                <w:rtl/>
              </w:rPr>
              <w:t>ע. ו</w:t>
            </w:r>
          </w:p>
          <w:p w:rsidR="00924442" w:rsidRPr="00924442" w:rsidRDefault="00156D43" w:rsidP="00C94DFD">
            <w:pPr>
              <w:suppressLineNumbers/>
              <w:spacing w:line="360" w:lineRule="auto"/>
              <w:rPr>
                <w:rFonts w:ascii="Arial" w:hAnsi="Arial"/>
                <w:b/>
                <w:bCs/>
                <w:noProof w:val="0"/>
                <w:sz w:val="26"/>
                <w:szCs w:val="26"/>
                <w:rtl/>
              </w:rPr>
            </w:pPr>
            <w:sdt>
              <w:sdtPr>
                <w:rPr>
                  <w:sz w:val="26"/>
                  <w:szCs w:val="26"/>
                  <w:rtl/>
                </w:rPr>
                <w:alias w:val="1571"/>
                <w:tag w:val="1571"/>
                <w:id w:val="2477860"/>
                <w:text w:multiLine="1"/>
              </w:sdtPr>
              <w:sdtEndPr/>
              <w:sdtContent>
                <w:r w:rsidR="00B859C5" w:rsidRPr="00924442">
                  <w:rPr>
                    <w:rFonts w:ascii="Arial" w:hAnsi="Arial"/>
                    <w:b/>
                    <w:bCs/>
                    <w:noProof w:val="0"/>
                    <w:sz w:val="26"/>
                    <w:szCs w:val="26"/>
                    <w:rtl/>
                  </w:rPr>
                  <w:t>2</w:t>
                </w:r>
              </w:sdtContent>
            </w:sdt>
            <w:r w:rsidR="0094424E" w:rsidRPr="00924442">
              <w:rPr>
                <w:rFonts w:ascii="Arial" w:hAnsi="Arial"/>
                <w:b/>
                <w:bCs/>
                <w:noProof w:val="0"/>
                <w:sz w:val="26"/>
                <w:szCs w:val="26"/>
                <w:rtl/>
              </w:rPr>
              <w:t>.</w:t>
            </w:r>
            <w:r w:rsidR="007C2453" w:rsidRPr="00924442">
              <w:rPr>
                <w:rFonts w:ascii="Arial" w:hAnsi="Arial" w:hint="cs"/>
                <w:b/>
                <w:bCs/>
                <w:noProof w:val="0"/>
                <w:sz w:val="26"/>
                <w:szCs w:val="26"/>
                <w:rtl/>
              </w:rPr>
              <w:t xml:space="preserve"> </w:t>
            </w:r>
            <w:r w:rsidR="00C94DFD">
              <w:rPr>
                <w:rFonts w:ascii="Arial" w:hAnsi="Arial" w:hint="cs"/>
                <w:b/>
                <w:bCs/>
                <w:noProof w:val="0"/>
                <w:sz w:val="26"/>
                <w:szCs w:val="26"/>
                <w:rtl/>
              </w:rPr>
              <w:t>ג. ו</w:t>
            </w:r>
          </w:p>
          <w:p w:rsidR="00CF6BB7" w:rsidRPr="00924442" w:rsidRDefault="00B859C5" w:rsidP="007C2453">
            <w:pPr>
              <w:suppressLineNumbers/>
              <w:rPr>
                <w:sz w:val="26"/>
                <w:szCs w:val="26"/>
                <w:rtl/>
              </w:rPr>
            </w:pPr>
            <w:r w:rsidRPr="00924442">
              <w:rPr>
                <w:rFonts w:ascii="Arial" w:hAnsi="Arial"/>
                <w:b/>
                <w:bCs/>
                <w:noProof w:val="0"/>
                <w:sz w:val="26"/>
                <w:szCs w:val="26"/>
                <w:rtl/>
              </w:rPr>
              <w:t>ע"י ב"כ עוה"ד</w:t>
            </w:r>
            <w:r w:rsidR="00924442" w:rsidRPr="00924442">
              <w:rPr>
                <w:rFonts w:hint="cs"/>
                <w:b/>
                <w:bCs/>
                <w:sz w:val="26"/>
                <w:szCs w:val="26"/>
                <w:rtl/>
              </w:rPr>
              <w:t xml:space="preserve"> טל איטקין</w:t>
            </w:r>
          </w:p>
        </w:tc>
      </w:tr>
    </w:tbl>
    <w:p w:rsidR="0094424E" w:rsidRDefault="0094424E" w:rsidP="00D44968">
      <w:pPr>
        <w:suppressLineNumbers/>
        <w:rPr>
          <w:rtl/>
        </w:rPr>
      </w:pPr>
    </w:p>
    <w:p w:rsidR="00924442" w:rsidRDefault="00924442" w:rsidP="00D44968">
      <w:pPr>
        <w:suppressLineNumbers/>
        <w:rPr>
          <w:rtl/>
        </w:rPr>
      </w:pPr>
    </w:p>
    <w:tbl>
      <w:tblPr>
        <w:tblStyle w:val="a9"/>
        <w:bidiVisual/>
        <w:tblW w:w="92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gridCol w:w="397"/>
      </w:tblGrid>
      <w:tr w:rsidR="00694556" w:rsidRPr="00DE1E7D" w:rsidTr="00924442">
        <w:trPr>
          <w:gridAfter w:val="1"/>
          <w:wAfter w:w="397" w:type="dxa"/>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r w:rsidR="00924442" w:rsidTr="00924442">
        <w:trPr>
          <w:jc w:val="center"/>
        </w:trPr>
        <w:tc>
          <w:tcPr>
            <w:tcW w:w="9217" w:type="dxa"/>
            <w:gridSpan w:val="2"/>
          </w:tcPr>
          <w:p w:rsidR="00924442" w:rsidRDefault="00924442">
            <w:pPr>
              <w:bidi w:val="0"/>
              <w:jc w:val="center"/>
              <w:rPr>
                <w:rFonts w:ascii="Arial" w:hAnsi="Arial"/>
                <w:b/>
                <w:bCs/>
                <w:noProof w:val="0"/>
                <w:sz w:val="28"/>
                <w:szCs w:val="28"/>
                <w:u w:val="single"/>
                <w:rtl/>
              </w:rPr>
            </w:pPr>
            <w:bookmarkStart w:id="1" w:name="NGCSBookmark"/>
            <w:bookmarkEnd w:id="1"/>
          </w:p>
        </w:tc>
      </w:tr>
    </w:tbl>
    <w:p w:rsidR="00924442" w:rsidRDefault="00924442" w:rsidP="00924442">
      <w:pPr>
        <w:spacing w:after="120" w:line="360" w:lineRule="auto"/>
        <w:ind w:left="720" w:hanging="720"/>
        <w:jc w:val="both"/>
        <w:rPr>
          <w:rFonts w:ascii="David" w:hAnsi="David"/>
          <w:rtl/>
        </w:rPr>
      </w:pPr>
      <w:r>
        <w:rPr>
          <w:rFonts w:ascii="David" w:hAnsi="David"/>
          <w:rtl/>
        </w:rPr>
        <w:t>1.</w:t>
      </w:r>
      <w:r>
        <w:rPr>
          <w:rFonts w:ascii="David" w:hAnsi="David"/>
          <w:rtl/>
        </w:rPr>
        <w:tab/>
        <w:t>עסקינן בבקשת רשות ערעור על החלטות בית משפט לענייני משפחה בחיפה (כב' השופטת רויטל באום) מימים 7.5.23 ו- 14.5.23 בתיק תמ"ש 27787-12-22 (להלן: "</w:t>
      </w:r>
      <w:r>
        <w:rPr>
          <w:rFonts w:ascii="David" w:hAnsi="David"/>
          <w:b/>
          <w:bCs/>
          <w:rtl/>
        </w:rPr>
        <w:t>ההחלטות קמא</w:t>
      </w:r>
      <w:r>
        <w:rPr>
          <w:rFonts w:ascii="David" w:hAnsi="David"/>
          <w:rtl/>
        </w:rPr>
        <w:t>" ו- "</w:t>
      </w:r>
      <w:r>
        <w:rPr>
          <w:rFonts w:ascii="David" w:hAnsi="David"/>
          <w:b/>
          <w:bCs/>
          <w:rtl/>
        </w:rPr>
        <w:t>התיק</w:t>
      </w:r>
      <w:r>
        <w:rPr>
          <w:rFonts w:ascii="David" w:hAnsi="David"/>
          <w:rtl/>
        </w:rPr>
        <w:t xml:space="preserve"> </w:t>
      </w:r>
      <w:r>
        <w:rPr>
          <w:rFonts w:ascii="David" w:hAnsi="David"/>
          <w:b/>
          <w:bCs/>
          <w:rtl/>
        </w:rPr>
        <w:t>קמא</w:t>
      </w:r>
      <w:r>
        <w:rPr>
          <w:rFonts w:ascii="David" w:hAnsi="David"/>
          <w:rtl/>
        </w:rPr>
        <w:t>" בהתאמה), אשר במסגרתן דחה בית משפט קמא את בקשת המבקש לביטול פסק דין שניתן בהיעדר הגנת המבקש, וכן דחה את בקשת המבקש לעיון חוזר, כפי שיתואר להלן.</w:t>
      </w:r>
    </w:p>
    <w:p w:rsidR="00924442" w:rsidRDefault="00924442" w:rsidP="00924442">
      <w:pPr>
        <w:spacing w:after="120" w:line="360" w:lineRule="auto"/>
        <w:jc w:val="both"/>
        <w:rPr>
          <w:rFonts w:ascii="David" w:hAnsi="David"/>
          <w:b/>
          <w:bCs/>
          <w:u w:val="single"/>
          <w:rtl/>
        </w:rPr>
      </w:pPr>
    </w:p>
    <w:p w:rsidR="00924442" w:rsidRDefault="00924442" w:rsidP="00924442">
      <w:pPr>
        <w:spacing w:after="120" w:line="360" w:lineRule="auto"/>
        <w:jc w:val="both"/>
        <w:rPr>
          <w:rFonts w:ascii="David" w:hAnsi="David"/>
          <w:b/>
          <w:bCs/>
          <w:u w:val="single"/>
          <w:rtl/>
        </w:rPr>
      </w:pPr>
      <w:r>
        <w:rPr>
          <w:rFonts w:ascii="David" w:hAnsi="David"/>
          <w:b/>
          <w:bCs/>
          <w:u w:val="single"/>
          <w:rtl/>
        </w:rPr>
        <w:t>רקע בזעיר אנפין וההחלטות קמא</w:t>
      </w:r>
    </w:p>
    <w:p w:rsidR="00924442" w:rsidRDefault="00924442" w:rsidP="00924442">
      <w:pPr>
        <w:spacing w:after="120" w:line="360" w:lineRule="auto"/>
        <w:ind w:left="720" w:hanging="720"/>
        <w:jc w:val="both"/>
        <w:rPr>
          <w:rFonts w:ascii="David" w:hAnsi="David"/>
        </w:rPr>
      </w:pPr>
      <w:r>
        <w:rPr>
          <w:rFonts w:ascii="David" w:hAnsi="David"/>
          <w:rtl/>
        </w:rPr>
        <w:t>2.</w:t>
      </w:r>
      <w:r>
        <w:rPr>
          <w:rFonts w:ascii="David" w:hAnsi="David"/>
          <w:rtl/>
        </w:rPr>
        <w:tab/>
        <w:t>המבקש הוא אחיו של משיב 1 (להלן: "</w:t>
      </w:r>
      <w:r>
        <w:rPr>
          <w:rFonts w:ascii="David" w:hAnsi="David"/>
          <w:b/>
          <w:bCs/>
          <w:rtl/>
        </w:rPr>
        <w:t>המשיב</w:t>
      </w:r>
      <w:r>
        <w:rPr>
          <w:rFonts w:ascii="David" w:hAnsi="David"/>
          <w:rtl/>
        </w:rPr>
        <w:t>"); משיב 2 הוא אחיינם של המבקש ושל המשיב (להלן כולם יחד: "</w:t>
      </w:r>
      <w:r>
        <w:rPr>
          <w:rFonts w:ascii="David" w:hAnsi="David"/>
          <w:b/>
          <w:bCs/>
          <w:rtl/>
        </w:rPr>
        <w:t>הצדדים</w:t>
      </w:r>
      <w:r>
        <w:rPr>
          <w:rFonts w:ascii="David" w:hAnsi="David"/>
          <w:rtl/>
        </w:rPr>
        <w:t>").</w:t>
      </w:r>
    </w:p>
    <w:p w:rsidR="00924442" w:rsidRDefault="00924442" w:rsidP="00924442">
      <w:pPr>
        <w:spacing w:after="120" w:line="360" w:lineRule="auto"/>
        <w:ind w:left="720" w:hanging="720"/>
        <w:jc w:val="both"/>
        <w:rPr>
          <w:rFonts w:ascii="Arial" w:hAnsi="Arial"/>
          <w:noProof w:val="0"/>
          <w:rtl/>
        </w:rPr>
      </w:pPr>
      <w:r>
        <w:rPr>
          <w:rFonts w:ascii="David" w:hAnsi="David"/>
          <w:rtl/>
        </w:rPr>
        <w:t>3.</w:t>
      </w:r>
      <w:r>
        <w:rPr>
          <w:rFonts w:ascii="David" w:hAnsi="David"/>
          <w:rtl/>
        </w:rPr>
        <w:tab/>
        <w:t>בין הצדדים מתנהל סכסוך בגין עזבונה של אמם המנוחה של המבקש והמשיב, שהלכה לעולמה בשנת 2018 (להלן: "</w:t>
      </w:r>
      <w:r>
        <w:rPr>
          <w:rFonts w:ascii="David" w:hAnsi="David"/>
          <w:b/>
          <w:bCs/>
          <w:rtl/>
        </w:rPr>
        <w:t>המנוחה</w:t>
      </w:r>
      <w:r>
        <w:rPr>
          <w:rFonts w:ascii="David" w:hAnsi="David"/>
          <w:rtl/>
        </w:rPr>
        <w:t xml:space="preserve">"). </w:t>
      </w:r>
      <w:r>
        <w:rPr>
          <w:rFonts w:ascii="Arial" w:hAnsi="Arial"/>
          <w:noProof w:val="0"/>
          <w:rtl/>
        </w:rPr>
        <w:t xml:space="preserve">משיב 2 הוא יורש של המנוחה מאחר שנכנס בנעלי אביו המנוח, בנה של המנוחה. המנוחה לא הותירה אחריה צוואה, ובהתאם להוראות הדין, ניתן בשנת 2019 צו ירושה לפיו הצדדים ירשו את המנוחה באופן שווה, שליש כל אחד (להלן: </w:t>
      </w:r>
      <w:r>
        <w:rPr>
          <w:rFonts w:ascii="Arial" w:hAnsi="Arial"/>
          <w:b/>
          <w:bCs/>
          <w:noProof w:val="0"/>
          <w:rtl/>
        </w:rPr>
        <w:t>"צו הירושה"</w:t>
      </w:r>
      <w:r>
        <w:rPr>
          <w:rFonts w:ascii="Arial" w:hAnsi="Arial"/>
          <w:noProof w:val="0"/>
          <w:rtl/>
        </w:rPr>
        <w:t>).</w:t>
      </w:r>
    </w:p>
    <w:p w:rsidR="00924442" w:rsidRDefault="00924442" w:rsidP="0095687F">
      <w:pPr>
        <w:spacing w:after="120" w:line="360" w:lineRule="auto"/>
        <w:ind w:left="720" w:hanging="720"/>
        <w:jc w:val="both"/>
        <w:rPr>
          <w:rFonts w:ascii="Arial" w:hAnsi="Arial"/>
          <w:noProof w:val="0"/>
          <w:rtl/>
        </w:rPr>
      </w:pPr>
      <w:r>
        <w:rPr>
          <w:rFonts w:ascii="Arial" w:hAnsi="Arial"/>
          <w:noProof w:val="0"/>
          <w:rtl/>
        </w:rPr>
        <w:t>4.</w:t>
      </w:r>
      <w:r>
        <w:rPr>
          <w:rFonts w:ascii="Arial" w:hAnsi="Arial"/>
          <w:noProof w:val="0"/>
          <w:rtl/>
        </w:rPr>
        <w:tab/>
        <w:t>ביום 13.12.2022 הגישו המשיבים כאן, תובענה בבית משפט קמא שכותרתה "</w:t>
      </w:r>
      <w:r>
        <w:rPr>
          <w:rFonts w:ascii="Arial" w:hAnsi="Arial"/>
          <w:b/>
          <w:bCs/>
          <w:noProof w:val="0"/>
          <w:rtl/>
        </w:rPr>
        <w:t>תביעה לפירוק שיתוף במקרקעין, פינוי מן המקרקעין, תשלום דמי שימוש ראויים ופירוק שיתוף בחשבנות בנק</w:t>
      </w:r>
      <w:r>
        <w:rPr>
          <w:rFonts w:ascii="Arial" w:hAnsi="Arial"/>
          <w:noProof w:val="0"/>
          <w:rtl/>
        </w:rPr>
        <w:t xml:space="preserve">". מהות התביעה קמא, פירוק שיתוף במקרקעין שבעזבון המנוחה, הידועים כגוש </w:t>
      </w:r>
      <w:r w:rsidR="0095687F">
        <w:rPr>
          <w:rFonts w:ascii="Arial" w:hAnsi="Arial" w:hint="cs"/>
          <w:noProof w:val="0"/>
        </w:rPr>
        <w:t>XXXX</w:t>
      </w:r>
      <w:r>
        <w:rPr>
          <w:rFonts w:ascii="Arial" w:hAnsi="Arial"/>
          <w:noProof w:val="0"/>
          <w:rtl/>
        </w:rPr>
        <w:t xml:space="preserve"> חלקה </w:t>
      </w:r>
      <w:r w:rsidR="0095687F">
        <w:rPr>
          <w:rFonts w:ascii="Arial" w:hAnsi="Arial" w:hint="cs"/>
          <w:noProof w:val="0"/>
        </w:rPr>
        <w:t>X</w:t>
      </w:r>
      <w:r>
        <w:rPr>
          <w:rFonts w:ascii="Arial" w:hAnsi="Arial"/>
          <w:noProof w:val="0"/>
          <w:rtl/>
        </w:rPr>
        <w:t>/</w:t>
      </w:r>
      <w:r w:rsidR="0095687F">
        <w:rPr>
          <w:rFonts w:ascii="Arial" w:hAnsi="Arial" w:hint="cs"/>
          <w:noProof w:val="0"/>
        </w:rPr>
        <w:t>X</w:t>
      </w:r>
      <w:r>
        <w:rPr>
          <w:rFonts w:ascii="Arial" w:hAnsi="Arial"/>
          <w:noProof w:val="0"/>
          <w:rtl/>
        </w:rPr>
        <w:t xml:space="preserve"> (להלן: "</w:t>
      </w:r>
      <w:r>
        <w:rPr>
          <w:rFonts w:ascii="Arial" w:hAnsi="Arial"/>
          <w:b/>
          <w:bCs/>
          <w:noProof w:val="0"/>
          <w:rtl/>
        </w:rPr>
        <w:t>הדירה</w:t>
      </w:r>
      <w:r>
        <w:rPr>
          <w:rFonts w:ascii="Arial" w:hAnsi="Arial"/>
          <w:noProof w:val="0"/>
          <w:rtl/>
        </w:rPr>
        <w:t>"), פינוי המבקש מהדירה (לאחר שלטענת המשיבים פלש אליה ומחזיק בה ללא הסכמתם), חיוב המבקש בתשלום דמי שימוש ראויים בגין תקופת החזקתו בדירה ללא רשות המשיבים, וכן פירוק שיתוף בחשבונות הבנק של המנוחה בהתאם לצו הירושה.</w:t>
      </w:r>
    </w:p>
    <w:p w:rsidR="00924442" w:rsidRDefault="00924442" w:rsidP="00924442">
      <w:pPr>
        <w:spacing w:after="120" w:line="360" w:lineRule="auto"/>
        <w:ind w:left="720" w:hanging="720"/>
        <w:jc w:val="both"/>
        <w:rPr>
          <w:rFonts w:ascii="Arial" w:hAnsi="Arial"/>
          <w:noProof w:val="0"/>
          <w:rtl/>
        </w:rPr>
      </w:pPr>
      <w:r>
        <w:rPr>
          <w:rFonts w:ascii="Arial" w:hAnsi="Arial"/>
          <w:noProof w:val="0"/>
          <w:rtl/>
        </w:rPr>
        <w:lastRenderedPageBreak/>
        <w:t>5.</w:t>
      </w:r>
      <w:r>
        <w:rPr>
          <w:rFonts w:ascii="Arial" w:hAnsi="Arial"/>
          <w:noProof w:val="0"/>
          <w:rtl/>
        </w:rPr>
        <w:tab/>
        <w:t>ביום 29.3.23 הגישו המשיבים בקשה לתיק קמא, במסגרתה טענו כי ביצעו מסירה של כתב התביעה קמא למבקש, באמצעות שליח, ביום 18.12.2022 והציגו את אישור המסירה החתום על ידי המבקש; עוד טענו כי מועד הגשת כתב הגנתו של המבקש בתובענה קמא חלף וכי הם זכאים לקבל פסק דין על יסוד האמור בתביעתם קמא והמסמכים שצורפו לה.</w:t>
      </w:r>
    </w:p>
    <w:p w:rsidR="00924442" w:rsidRDefault="00924442" w:rsidP="00924442">
      <w:pPr>
        <w:spacing w:after="120" w:line="360" w:lineRule="auto"/>
        <w:ind w:left="720" w:hanging="720"/>
        <w:jc w:val="both"/>
        <w:rPr>
          <w:rFonts w:ascii="Arial" w:hAnsi="Arial"/>
          <w:noProof w:val="0"/>
          <w:rtl/>
        </w:rPr>
      </w:pPr>
      <w:r>
        <w:rPr>
          <w:rFonts w:ascii="Arial" w:hAnsi="Arial"/>
          <w:noProof w:val="0"/>
          <w:rtl/>
        </w:rPr>
        <w:t>6.</w:t>
      </w:r>
      <w:r>
        <w:rPr>
          <w:rFonts w:ascii="Arial" w:hAnsi="Arial"/>
          <w:noProof w:val="0"/>
          <w:rtl/>
        </w:rPr>
        <w:tab/>
        <w:t>בית המשפט קמא הורה בהחלטתו מאותו יום, 29.3.23, בין היתר, "</w:t>
      </w:r>
      <w:r>
        <w:rPr>
          <w:rFonts w:ascii="Arial" w:hAnsi="Arial"/>
          <w:b/>
          <w:bCs/>
          <w:noProof w:val="0"/>
          <w:rtl/>
        </w:rPr>
        <w:t xml:space="preserve">משחלף לכאורה המועד להגשת כתב הגנה, עד ליום 13.4.23 יגישו התובעים </w:t>
      </w:r>
      <w:r>
        <w:rPr>
          <w:rFonts w:ascii="Arial" w:hAnsi="Arial"/>
          <w:noProof w:val="0"/>
          <w:rtl/>
        </w:rPr>
        <w:t>(המשיבים כאן, ח"ש)</w:t>
      </w:r>
      <w:r>
        <w:rPr>
          <w:rFonts w:ascii="Arial" w:hAnsi="Arial"/>
          <w:b/>
          <w:bCs/>
          <w:noProof w:val="0"/>
          <w:rtl/>
        </w:rPr>
        <w:t xml:space="preserve"> פסיקתה לחתימתי ביחס לפינויו של הנתבע </w:t>
      </w:r>
      <w:r>
        <w:rPr>
          <w:rFonts w:ascii="Arial" w:hAnsi="Arial"/>
          <w:noProof w:val="0"/>
          <w:rtl/>
        </w:rPr>
        <w:t>(המבקש כאן, ח"ש)</w:t>
      </w:r>
      <w:r>
        <w:rPr>
          <w:rFonts w:ascii="Arial" w:hAnsi="Arial"/>
          <w:b/>
          <w:bCs/>
          <w:noProof w:val="0"/>
          <w:rtl/>
        </w:rPr>
        <w:t xml:space="preserve"> מהדירה ופירוק השיתוף בה באמצעות מכירתה בהוצאה לפועל</w:t>
      </w:r>
      <w:r>
        <w:rPr>
          <w:rFonts w:ascii="Arial" w:hAnsi="Arial"/>
          <w:noProof w:val="0"/>
          <w:rtl/>
        </w:rPr>
        <w:t>...".</w:t>
      </w:r>
    </w:p>
    <w:p w:rsidR="00924442" w:rsidRDefault="00924442" w:rsidP="00924442">
      <w:pPr>
        <w:spacing w:after="120" w:line="360" w:lineRule="auto"/>
        <w:ind w:left="720" w:hanging="720"/>
        <w:jc w:val="both"/>
        <w:rPr>
          <w:rFonts w:ascii="Arial" w:hAnsi="Arial"/>
          <w:noProof w:val="0"/>
          <w:rtl/>
        </w:rPr>
      </w:pPr>
      <w:r>
        <w:rPr>
          <w:rFonts w:ascii="Arial" w:hAnsi="Arial"/>
          <w:noProof w:val="0"/>
          <w:rtl/>
        </w:rPr>
        <w:t>7.</w:t>
      </w:r>
      <w:r>
        <w:rPr>
          <w:rFonts w:ascii="Arial" w:hAnsi="Arial"/>
          <w:noProof w:val="0"/>
          <w:rtl/>
        </w:rPr>
        <w:tab/>
        <w:t>ביום 13.4.23 הגישו המשיבים פסיקתא לחתימת בית משפט קמא, וביום 18.4.23 חתם בית משפט קמא על הפסיקתא, במסגרתה ניתן צו לפינוי המבקש מהדירה, וצוין כי ביצוע הצו ייעשה באמצעות לשכת ההוצאה לפועל.</w:t>
      </w:r>
    </w:p>
    <w:p w:rsidR="00924442" w:rsidRDefault="00924442" w:rsidP="00924442">
      <w:pPr>
        <w:spacing w:after="120" w:line="360" w:lineRule="auto"/>
        <w:ind w:left="720" w:hanging="720"/>
        <w:jc w:val="both"/>
        <w:rPr>
          <w:rFonts w:ascii="Arial" w:hAnsi="Arial"/>
          <w:noProof w:val="0"/>
          <w:rtl/>
        </w:rPr>
      </w:pPr>
      <w:r>
        <w:rPr>
          <w:rFonts w:ascii="Arial" w:hAnsi="Arial"/>
          <w:noProof w:val="0"/>
          <w:rtl/>
        </w:rPr>
        <w:t>8.</w:t>
      </w:r>
      <w:r>
        <w:rPr>
          <w:rFonts w:ascii="Arial" w:hAnsi="Arial"/>
          <w:noProof w:val="0"/>
          <w:rtl/>
        </w:rPr>
        <w:tab/>
        <w:t xml:space="preserve">ביום 27.4.23 הגישו המשיבים פסיקתא נוספת לחתימת בית משפט קמא, </w:t>
      </w:r>
      <w:r>
        <w:rPr>
          <w:rFonts w:ascii="Arial" w:hAnsi="Arial"/>
          <w:noProof w:val="0"/>
          <w:u w:val="single"/>
          <w:rtl/>
        </w:rPr>
        <w:t>אשר נחתמה ביום 30.4.23 כפסק דין בתובענה קמא</w:t>
      </w:r>
      <w:r>
        <w:rPr>
          <w:rFonts w:ascii="Arial" w:hAnsi="Arial"/>
          <w:noProof w:val="0"/>
          <w:rtl/>
        </w:rPr>
        <w:t>, במסגרתה ניתן צו המופנה לבנק טפחות ולבנק פועלים, לאפשר לכל אחד מהצדדים, יורשי המנוחה, לקבל לידיו שליש מהכספים המופקדים במועד הצו בכל אחד מחשבונות המנוחה המנוהלים בסניפי הבנקים הנ"ל.</w:t>
      </w:r>
    </w:p>
    <w:p w:rsidR="00924442" w:rsidRDefault="00924442" w:rsidP="00924442">
      <w:pPr>
        <w:spacing w:after="120" w:line="360" w:lineRule="auto"/>
        <w:ind w:left="720" w:hanging="720"/>
        <w:jc w:val="both"/>
        <w:rPr>
          <w:rFonts w:ascii="Arial" w:hAnsi="Arial"/>
          <w:noProof w:val="0"/>
          <w:rtl/>
        </w:rPr>
      </w:pPr>
      <w:r>
        <w:rPr>
          <w:rFonts w:ascii="Arial" w:hAnsi="Arial"/>
          <w:noProof w:val="0"/>
          <w:rtl/>
        </w:rPr>
        <w:tab/>
        <w:t>לאחר מתן פסק הדין, סגרה המזכירות את התיק קמא ביום 1.5.23.</w:t>
      </w:r>
    </w:p>
    <w:p w:rsidR="00924442" w:rsidRDefault="00924442" w:rsidP="00924442">
      <w:pPr>
        <w:spacing w:after="120" w:line="360" w:lineRule="auto"/>
        <w:ind w:left="720" w:hanging="720"/>
        <w:jc w:val="both"/>
        <w:rPr>
          <w:rFonts w:ascii="Arial" w:hAnsi="Arial"/>
          <w:noProof w:val="0"/>
          <w:rtl/>
        </w:rPr>
      </w:pPr>
      <w:r>
        <w:rPr>
          <w:rFonts w:ascii="Arial" w:hAnsi="Arial"/>
          <w:noProof w:val="0"/>
          <w:rtl/>
        </w:rPr>
        <w:t>9.</w:t>
      </w:r>
      <w:r>
        <w:rPr>
          <w:rFonts w:ascii="Arial" w:hAnsi="Arial"/>
          <w:noProof w:val="0"/>
          <w:rtl/>
        </w:rPr>
        <w:tab/>
      </w:r>
      <w:r>
        <w:rPr>
          <w:rFonts w:ascii="Arial" w:hAnsi="Arial"/>
          <w:noProof w:val="0"/>
          <w:u w:val="single"/>
          <w:rtl/>
        </w:rPr>
        <w:t>ביום 3.5.23 הגיש בתיק קמא המבקש, באמצעות בא כוחו, "</w:t>
      </w:r>
      <w:r>
        <w:rPr>
          <w:rFonts w:ascii="Arial" w:hAnsi="Arial"/>
          <w:b/>
          <w:bCs/>
          <w:noProof w:val="0"/>
          <w:u w:val="single"/>
          <w:rtl/>
        </w:rPr>
        <w:t>בקשה דחופה לביטול פסק דין שניתן בהיעדר הגנה</w:t>
      </w:r>
      <w:r>
        <w:rPr>
          <w:rFonts w:ascii="Arial" w:hAnsi="Arial"/>
          <w:noProof w:val="0"/>
          <w:u w:val="single"/>
          <w:rtl/>
        </w:rPr>
        <w:t>", וצירף תצהיר חתום על ידי המבקש, במסגרתו פירט כדלקמן</w:t>
      </w:r>
      <w:r>
        <w:rPr>
          <w:rFonts w:ascii="Arial" w:hAnsi="Arial"/>
          <w:noProof w:val="0"/>
          <w:rtl/>
        </w:rPr>
        <w:t>:</w:t>
      </w:r>
    </w:p>
    <w:p w:rsidR="00924442" w:rsidRDefault="00924442" w:rsidP="00924442">
      <w:pPr>
        <w:spacing w:after="120" w:line="360" w:lineRule="auto"/>
        <w:ind w:left="1276" w:hanging="567"/>
        <w:jc w:val="both"/>
        <w:rPr>
          <w:rFonts w:ascii="Arial" w:hAnsi="Arial"/>
          <w:noProof w:val="0"/>
          <w:rtl/>
        </w:rPr>
      </w:pPr>
      <w:r>
        <w:rPr>
          <w:rFonts w:ascii="Arial" w:hAnsi="Arial"/>
          <w:noProof w:val="0"/>
          <w:rtl/>
        </w:rPr>
        <w:t>א.</w:t>
      </w:r>
      <w:r>
        <w:rPr>
          <w:rFonts w:ascii="Arial" w:hAnsi="Arial"/>
          <w:noProof w:val="0"/>
          <w:rtl/>
        </w:rPr>
        <w:tab/>
        <w:t>הוא נכה של משרד הביטחון וסובל מבעיות נפשיות ניכרות, ואף נוטל תרופות רבות בגינן;</w:t>
      </w:r>
    </w:p>
    <w:p w:rsidR="00924442" w:rsidRDefault="00924442" w:rsidP="00924442">
      <w:pPr>
        <w:spacing w:after="120" w:line="360" w:lineRule="auto"/>
        <w:ind w:left="1276" w:hanging="567"/>
        <w:jc w:val="both"/>
        <w:rPr>
          <w:rFonts w:ascii="Arial" w:hAnsi="Arial"/>
          <w:noProof w:val="0"/>
          <w:rtl/>
        </w:rPr>
      </w:pPr>
      <w:r>
        <w:rPr>
          <w:rFonts w:ascii="Arial" w:hAnsi="Arial"/>
          <w:noProof w:val="0"/>
          <w:rtl/>
        </w:rPr>
        <w:t>ב.</w:t>
      </w:r>
      <w:r>
        <w:rPr>
          <w:rFonts w:ascii="Arial" w:hAnsi="Arial"/>
          <w:noProof w:val="0"/>
          <w:rtl/>
        </w:rPr>
        <w:tab/>
        <w:t>ככל הנראה קיבל את כתב התביעה קמא אולם לא פתח המעטפה מאחר שסבר כי מדובר בחומר הקשור לתיק אחר שמנהל בבית משפט. המעטפה הלכה לאיבוד;</w:t>
      </w:r>
    </w:p>
    <w:p w:rsidR="00924442" w:rsidRDefault="00924442" w:rsidP="00924442">
      <w:pPr>
        <w:spacing w:after="120" w:line="360" w:lineRule="auto"/>
        <w:ind w:left="1276" w:hanging="567"/>
        <w:jc w:val="both"/>
        <w:rPr>
          <w:rFonts w:ascii="Arial" w:hAnsi="Arial"/>
          <w:noProof w:val="0"/>
          <w:rtl/>
        </w:rPr>
      </w:pPr>
      <w:r>
        <w:rPr>
          <w:rFonts w:ascii="Arial" w:hAnsi="Arial"/>
          <w:noProof w:val="0"/>
          <w:rtl/>
        </w:rPr>
        <w:t>ג.</w:t>
      </w:r>
      <w:r>
        <w:rPr>
          <w:rFonts w:ascii="Arial" w:hAnsi="Arial"/>
          <w:noProof w:val="0"/>
          <w:rtl/>
        </w:rPr>
        <w:tab/>
        <w:t>על ההליך קמא גילה בפועל לאחר שקיבל את ההחלטה קמא מיום 29.3.23, או אז פנה לעורך דין שייצגו. הוא לא הגיש כתב הגנה מחוסר תשומת לב ועקב מצבו הנפשי, ולא חלילה מזלזול בהליך קמא;</w:t>
      </w:r>
    </w:p>
    <w:p w:rsidR="00924442" w:rsidRDefault="00924442" w:rsidP="00DF09AB">
      <w:pPr>
        <w:spacing w:after="120" w:line="360" w:lineRule="auto"/>
        <w:ind w:left="1276" w:hanging="567"/>
        <w:jc w:val="both"/>
        <w:rPr>
          <w:rFonts w:ascii="Arial" w:hAnsi="Arial"/>
          <w:noProof w:val="0"/>
          <w:rtl/>
        </w:rPr>
      </w:pPr>
      <w:r>
        <w:rPr>
          <w:rFonts w:ascii="Arial" w:hAnsi="Arial"/>
          <w:noProof w:val="0"/>
          <w:rtl/>
        </w:rPr>
        <w:t>ד.</w:t>
      </w:r>
      <w:r>
        <w:rPr>
          <w:rFonts w:ascii="Arial" w:hAnsi="Arial"/>
          <w:noProof w:val="0"/>
          <w:rtl/>
        </w:rPr>
        <w:tab/>
        <w:t xml:space="preserve">אף לגופו של עניין לטענתו, יש לבטל את פסק הדין קמא, מאחר שאיננו נכון וגורם לו עיוות דין. לטענתו, חתם "הסכם בין יורשים" עם התובעים קמא ביום 8.10.2014, שם נרשם מפורשות שהדירה (בגוש </w:t>
      </w:r>
      <w:r w:rsidR="00DF09AB">
        <w:rPr>
          <w:rFonts w:ascii="Arial" w:hAnsi="Arial" w:hint="cs"/>
          <w:noProof w:val="0"/>
        </w:rPr>
        <w:t>XXXX</w:t>
      </w:r>
      <w:r>
        <w:rPr>
          <w:rFonts w:ascii="Arial" w:hAnsi="Arial"/>
          <w:noProof w:val="0"/>
          <w:rtl/>
        </w:rPr>
        <w:t xml:space="preserve"> חלקה </w:t>
      </w:r>
      <w:r w:rsidR="00DF09AB">
        <w:rPr>
          <w:rFonts w:ascii="Arial" w:hAnsi="Arial" w:hint="cs"/>
          <w:noProof w:val="0"/>
        </w:rPr>
        <w:t>X</w:t>
      </w:r>
      <w:r>
        <w:rPr>
          <w:rFonts w:ascii="Arial" w:hAnsi="Arial"/>
          <w:noProof w:val="0"/>
          <w:rtl/>
        </w:rPr>
        <w:t>/</w:t>
      </w:r>
      <w:r w:rsidR="00DF09AB">
        <w:rPr>
          <w:rFonts w:ascii="Arial" w:hAnsi="Arial" w:hint="cs"/>
          <w:noProof w:val="0"/>
        </w:rPr>
        <w:t>X</w:t>
      </w:r>
      <w:r>
        <w:rPr>
          <w:rFonts w:ascii="Arial" w:hAnsi="Arial"/>
          <w:noProof w:val="0"/>
          <w:rtl/>
        </w:rPr>
        <w:t>) איננה כלולה בעזבון המנוחה, ועל אף שהיא רשומה ע"ש האם המנוחה היא למעשה שלו. כמו כן טען כי כספים בסך משוערך של למעלה מ-300,000 ₪ שנמצאים בחשבון הבנק של המנוחה, ושהתובעים קמא ביקשו ליטול מהם שני שליש כפי חלקם בעזבון, הם למעשה כולם שייכים לו ולא כלולים בעזבון המנוחה; בנסיבות אלה הפסיקתות קמא אינן נכונות ומנוגדות להסכם מפורש עליו חתומים כל הצדדים.</w:t>
      </w:r>
    </w:p>
    <w:p w:rsidR="00924442" w:rsidRDefault="00924442" w:rsidP="00924442">
      <w:pPr>
        <w:spacing w:after="120" w:line="360" w:lineRule="auto"/>
        <w:ind w:left="1276" w:hanging="567"/>
        <w:jc w:val="both"/>
        <w:rPr>
          <w:rFonts w:ascii="Arial" w:hAnsi="Arial"/>
          <w:noProof w:val="0"/>
          <w:rtl/>
        </w:rPr>
      </w:pPr>
      <w:r>
        <w:rPr>
          <w:rFonts w:ascii="Arial" w:hAnsi="Arial"/>
          <w:noProof w:val="0"/>
          <w:rtl/>
        </w:rPr>
        <w:lastRenderedPageBreak/>
        <w:t>ה.</w:t>
      </w:r>
      <w:r>
        <w:rPr>
          <w:rFonts w:ascii="Arial" w:hAnsi="Arial"/>
          <w:noProof w:val="0"/>
          <w:rtl/>
        </w:rPr>
        <w:tab/>
        <w:t xml:space="preserve">בשנים האחרונות מי מהתובעים קמא מעולם לא פנה אליו ולא אמר לו דבר בקשר לדירה ו/או הכספים נשוא המחלוקת. המכתבים שהתובעים קמא טענו כי נשלחו למבקש מעולם לא התקבלו אצלו. </w:t>
      </w:r>
    </w:p>
    <w:p w:rsidR="00924442" w:rsidRDefault="00924442" w:rsidP="00924442">
      <w:pPr>
        <w:spacing w:after="120" w:line="360" w:lineRule="auto"/>
        <w:ind w:left="720" w:hanging="720"/>
        <w:jc w:val="both"/>
        <w:rPr>
          <w:rFonts w:ascii="Arial" w:hAnsi="Arial"/>
          <w:noProof w:val="0"/>
          <w:rtl/>
        </w:rPr>
      </w:pPr>
      <w:r>
        <w:rPr>
          <w:rFonts w:ascii="Arial" w:hAnsi="Arial"/>
          <w:noProof w:val="0"/>
          <w:rtl/>
        </w:rPr>
        <w:t>10.</w:t>
      </w:r>
      <w:r>
        <w:rPr>
          <w:rFonts w:ascii="Arial" w:hAnsi="Arial"/>
          <w:noProof w:val="0"/>
          <w:rtl/>
        </w:rPr>
        <w:tab/>
      </w:r>
      <w:r>
        <w:rPr>
          <w:rFonts w:ascii="Arial" w:hAnsi="Arial"/>
          <w:noProof w:val="0"/>
          <w:u w:val="single"/>
          <w:rtl/>
        </w:rPr>
        <w:t>ביום 7.5.23 ניתנה החלטת בית המשפט קמא, כהאי לישנא</w:t>
      </w:r>
      <w:r>
        <w:rPr>
          <w:rFonts w:ascii="Arial" w:hAnsi="Arial"/>
          <w:noProof w:val="0"/>
          <w:rtl/>
        </w:rPr>
        <w:t>:</w:t>
      </w:r>
    </w:p>
    <w:p w:rsidR="00924442" w:rsidRDefault="00924442" w:rsidP="00924442">
      <w:pPr>
        <w:autoSpaceDE w:val="0"/>
        <w:autoSpaceDN w:val="0"/>
        <w:adjustRightInd w:val="0"/>
        <w:spacing w:after="120" w:line="360" w:lineRule="auto"/>
        <w:ind w:left="850" w:right="737"/>
        <w:jc w:val="both"/>
        <w:rPr>
          <w:rFonts w:ascii="David" w:eastAsiaTheme="minorHAnsi" w:hAnsi="David"/>
          <w:b/>
          <w:bCs/>
          <w:noProof w:val="0"/>
          <w:rtl/>
        </w:rPr>
      </w:pPr>
      <w:r>
        <w:rPr>
          <w:rFonts w:ascii="David" w:eastAsiaTheme="minorHAnsi" w:hAnsi="David"/>
          <w:noProof w:val="0"/>
          <w:rtl/>
        </w:rPr>
        <w:t>"</w:t>
      </w:r>
      <w:r>
        <w:rPr>
          <w:rFonts w:ascii="David" w:eastAsiaTheme="minorHAnsi" w:hAnsi="David"/>
          <w:b/>
          <w:bCs/>
          <w:noProof w:val="0"/>
          <w:rtl/>
        </w:rPr>
        <w:t>עיון</w:t>
      </w:r>
      <w:r>
        <w:rPr>
          <w:rFonts w:ascii="David" w:eastAsiaTheme="minorHAnsi" w:hAnsi="David"/>
          <w:b/>
          <w:bCs/>
          <w:noProof w:val="0"/>
        </w:rPr>
        <w:t xml:space="preserve"> </w:t>
      </w:r>
      <w:r>
        <w:rPr>
          <w:rFonts w:ascii="David" w:eastAsiaTheme="minorHAnsi" w:hAnsi="David"/>
          <w:b/>
          <w:bCs/>
          <w:noProof w:val="0"/>
          <w:rtl/>
        </w:rPr>
        <w:t>בבקשה</w:t>
      </w:r>
      <w:r>
        <w:rPr>
          <w:rFonts w:ascii="David" w:eastAsiaTheme="minorHAnsi" w:hAnsi="David"/>
          <w:b/>
          <w:bCs/>
          <w:noProof w:val="0"/>
        </w:rPr>
        <w:t xml:space="preserve"> </w:t>
      </w:r>
      <w:r>
        <w:rPr>
          <w:rFonts w:ascii="David" w:eastAsiaTheme="minorHAnsi" w:hAnsi="David"/>
          <w:b/>
          <w:bCs/>
          <w:noProof w:val="0"/>
          <w:rtl/>
        </w:rPr>
        <w:t>מלמד</w:t>
      </w:r>
      <w:r>
        <w:rPr>
          <w:rFonts w:ascii="David" w:eastAsiaTheme="minorHAnsi" w:hAnsi="David"/>
          <w:b/>
          <w:bCs/>
          <w:noProof w:val="0"/>
        </w:rPr>
        <w:t xml:space="preserve"> </w:t>
      </w:r>
      <w:r>
        <w:rPr>
          <w:rFonts w:ascii="David" w:eastAsiaTheme="minorHAnsi" w:hAnsi="David"/>
          <w:b/>
          <w:bCs/>
          <w:noProof w:val="0"/>
          <w:rtl/>
        </w:rPr>
        <w:t>כי</w:t>
      </w:r>
      <w:r>
        <w:rPr>
          <w:rFonts w:ascii="David" w:eastAsiaTheme="minorHAnsi" w:hAnsi="David"/>
          <w:b/>
          <w:bCs/>
          <w:noProof w:val="0"/>
        </w:rPr>
        <w:t xml:space="preserve"> </w:t>
      </w:r>
      <w:r>
        <w:rPr>
          <w:rFonts w:ascii="David" w:eastAsiaTheme="minorHAnsi" w:hAnsi="David"/>
          <w:b/>
          <w:bCs/>
          <w:noProof w:val="0"/>
          <w:rtl/>
        </w:rPr>
        <w:t>לא</w:t>
      </w:r>
      <w:r>
        <w:rPr>
          <w:rFonts w:ascii="David" w:eastAsiaTheme="minorHAnsi" w:hAnsi="David"/>
          <w:b/>
          <w:bCs/>
          <w:noProof w:val="0"/>
        </w:rPr>
        <w:t xml:space="preserve"> </w:t>
      </w:r>
      <w:r>
        <w:rPr>
          <w:rFonts w:ascii="David" w:eastAsiaTheme="minorHAnsi" w:hAnsi="David"/>
          <w:b/>
          <w:bCs/>
          <w:noProof w:val="0"/>
          <w:rtl/>
        </w:rPr>
        <w:t>היה</w:t>
      </w:r>
      <w:r>
        <w:rPr>
          <w:rFonts w:ascii="David" w:eastAsiaTheme="minorHAnsi" w:hAnsi="David"/>
          <w:b/>
          <w:bCs/>
          <w:noProof w:val="0"/>
        </w:rPr>
        <w:t xml:space="preserve"> </w:t>
      </w:r>
      <w:r>
        <w:rPr>
          <w:rFonts w:ascii="David" w:eastAsiaTheme="minorHAnsi" w:hAnsi="David"/>
          <w:b/>
          <w:bCs/>
          <w:noProof w:val="0"/>
          <w:rtl/>
        </w:rPr>
        <w:t>כל</w:t>
      </w:r>
      <w:r>
        <w:rPr>
          <w:rFonts w:ascii="David" w:eastAsiaTheme="minorHAnsi" w:hAnsi="David"/>
          <w:b/>
          <w:bCs/>
          <w:noProof w:val="0"/>
        </w:rPr>
        <w:t xml:space="preserve"> </w:t>
      </w:r>
      <w:r>
        <w:rPr>
          <w:rFonts w:ascii="David" w:eastAsiaTheme="minorHAnsi" w:hAnsi="David"/>
          <w:b/>
          <w:bCs/>
          <w:noProof w:val="0"/>
          <w:rtl/>
        </w:rPr>
        <w:t>טעם</w:t>
      </w:r>
      <w:r>
        <w:rPr>
          <w:rFonts w:ascii="David" w:eastAsiaTheme="minorHAnsi" w:hAnsi="David"/>
          <w:b/>
          <w:bCs/>
          <w:noProof w:val="0"/>
        </w:rPr>
        <w:t xml:space="preserve"> </w:t>
      </w:r>
      <w:r>
        <w:rPr>
          <w:rFonts w:ascii="David" w:eastAsiaTheme="minorHAnsi" w:hAnsi="David"/>
          <w:b/>
          <w:bCs/>
          <w:noProof w:val="0"/>
          <w:rtl/>
        </w:rPr>
        <w:t>לאי</w:t>
      </w:r>
      <w:r>
        <w:rPr>
          <w:rFonts w:ascii="David" w:eastAsiaTheme="minorHAnsi" w:hAnsi="David"/>
          <w:b/>
          <w:bCs/>
          <w:noProof w:val="0"/>
        </w:rPr>
        <w:t xml:space="preserve"> </w:t>
      </w:r>
      <w:r>
        <w:rPr>
          <w:rFonts w:ascii="David" w:eastAsiaTheme="minorHAnsi" w:hAnsi="David"/>
          <w:b/>
          <w:bCs/>
          <w:noProof w:val="0"/>
          <w:rtl/>
        </w:rPr>
        <w:t>הגשת</w:t>
      </w:r>
      <w:r>
        <w:rPr>
          <w:rFonts w:ascii="David" w:eastAsiaTheme="minorHAnsi" w:hAnsi="David"/>
          <w:b/>
          <w:bCs/>
          <w:noProof w:val="0"/>
        </w:rPr>
        <w:t xml:space="preserve"> </w:t>
      </w:r>
      <w:r>
        <w:rPr>
          <w:rFonts w:ascii="David" w:eastAsiaTheme="minorHAnsi" w:hAnsi="David"/>
          <w:b/>
          <w:bCs/>
          <w:noProof w:val="0"/>
          <w:rtl/>
        </w:rPr>
        <w:t>כתב</w:t>
      </w:r>
      <w:r>
        <w:rPr>
          <w:rFonts w:ascii="David" w:eastAsiaTheme="minorHAnsi" w:hAnsi="David"/>
          <w:b/>
          <w:bCs/>
          <w:noProof w:val="0"/>
        </w:rPr>
        <w:t xml:space="preserve"> </w:t>
      </w:r>
      <w:r>
        <w:rPr>
          <w:rFonts w:ascii="David" w:eastAsiaTheme="minorHAnsi" w:hAnsi="David"/>
          <w:b/>
          <w:bCs/>
          <w:noProof w:val="0"/>
          <w:rtl/>
        </w:rPr>
        <w:t>הגנה במועד</w:t>
      </w:r>
      <w:r>
        <w:rPr>
          <w:rFonts w:ascii="David" w:eastAsiaTheme="minorHAnsi" w:hAnsi="David"/>
          <w:b/>
          <w:bCs/>
          <w:noProof w:val="0"/>
        </w:rPr>
        <w:t xml:space="preserve"> </w:t>
      </w:r>
      <w:r>
        <w:rPr>
          <w:rFonts w:ascii="David" w:eastAsiaTheme="minorHAnsi" w:hAnsi="David"/>
          <w:b/>
          <w:bCs/>
          <w:noProof w:val="0"/>
          <w:rtl/>
        </w:rPr>
        <w:t>בידי</w:t>
      </w:r>
      <w:r>
        <w:rPr>
          <w:rFonts w:ascii="David" w:eastAsiaTheme="minorHAnsi" w:hAnsi="David"/>
          <w:b/>
          <w:bCs/>
          <w:noProof w:val="0"/>
        </w:rPr>
        <w:t xml:space="preserve"> </w:t>
      </w:r>
      <w:r>
        <w:rPr>
          <w:rFonts w:ascii="David" w:eastAsiaTheme="minorHAnsi" w:hAnsi="David"/>
          <w:b/>
          <w:bCs/>
          <w:noProof w:val="0"/>
          <w:rtl/>
        </w:rPr>
        <w:t>הנתבע.</w:t>
      </w:r>
      <w:r>
        <w:rPr>
          <w:rFonts w:ascii="David" w:eastAsiaTheme="minorHAnsi" w:hAnsi="David"/>
          <w:b/>
          <w:bCs/>
          <w:noProof w:val="0"/>
        </w:rPr>
        <w:t xml:space="preserve"> </w:t>
      </w:r>
      <w:r>
        <w:rPr>
          <w:rFonts w:ascii="David" w:eastAsiaTheme="minorHAnsi" w:hAnsi="David"/>
          <w:b/>
          <w:bCs/>
          <w:noProof w:val="0"/>
          <w:rtl/>
        </w:rPr>
        <w:t xml:space="preserve"> על</w:t>
      </w:r>
      <w:r>
        <w:rPr>
          <w:rFonts w:ascii="David" w:eastAsiaTheme="minorHAnsi" w:hAnsi="David"/>
          <w:b/>
          <w:bCs/>
          <w:noProof w:val="0"/>
        </w:rPr>
        <w:t xml:space="preserve"> </w:t>
      </w:r>
      <w:r>
        <w:rPr>
          <w:rFonts w:ascii="David" w:eastAsiaTheme="minorHAnsi" w:hAnsi="David"/>
          <w:b/>
          <w:bCs/>
          <w:noProof w:val="0"/>
          <w:rtl/>
        </w:rPr>
        <w:t>כן</w:t>
      </w:r>
      <w:r>
        <w:rPr>
          <w:rFonts w:ascii="David" w:eastAsiaTheme="minorHAnsi" w:hAnsi="David"/>
          <w:b/>
          <w:bCs/>
          <w:noProof w:val="0"/>
        </w:rPr>
        <w:t>,</w:t>
      </w:r>
      <w:r>
        <w:rPr>
          <w:rFonts w:ascii="David" w:eastAsiaTheme="minorHAnsi" w:hAnsi="David"/>
          <w:b/>
          <w:bCs/>
          <w:noProof w:val="0"/>
          <w:rtl/>
        </w:rPr>
        <w:t xml:space="preserve"> </w:t>
      </w:r>
      <w:r>
        <w:rPr>
          <w:rFonts w:ascii="David" w:eastAsiaTheme="minorHAnsi" w:hAnsi="David" w:hint="cs"/>
          <w:b/>
          <w:bCs/>
          <w:noProof w:val="0"/>
          <w:rtl/>
        </w:rPr>
        <w:t>על</w:t>
      </w:r>
      <w:r>
        <w:rPr>
          <w:rFonts w:ascii="David" w:eastAsiaTheme="minorHAnsi" w:hAnsi="David"/>
          <w:b/>
          <w:bCs/>
          <w:noProof w:val="0"/>
        </w:rPr>
        <w:t xml:space="preserve"> </w:t>
      </w:r>
      <w:r>
        <w:rPr>
          <w:rFonts w:ascii="David" w:eastAsiaTheme="minorHAnsi" w:hAnsi="David"/>
          <w:b/>
          <w:bCs/>
          <w:noProof w:val="0"/>
          <w:rtl/>
        </w:rPr>
        <w:t>ביהמ</w:t>
      </w:r>
      <w:r>
        <w:rPr>
          <w:rFonts w:ascii="David" w:eastAsiaTheme="minorHAnsi" w:hAnsi="David"/>
          <w:b/>
          <w:bCs/>
          <w:noProof w:val="0"/>
        </w:rPr>
        <w:t>"</w:t>
      </w:r>
      <w:r>
        <w:rPr>
          <w:rFonts w:ascii="David" w:eastAsiaTheme="minorHAnsi" w:hAnsi="David"/>
          <w:b/>
          <w:bCs/>
          <w:noProof w:val="0"/>
          <w:rtl/>
        </w:rPr>
        <w:t>ש</w:t>
      </w:r>
      <w:r>
        <w:rPr>
          <w:rFonts w:ascii="David" w:eastAsiaTheme="minorHAnsi" w:hAnsi="David"/>
          <w:b/>
          <w:bCs/>
          <w:noProof w:val="0"/>
        </w:rPr>
        <w:t xml:space="preserve"> </w:t>
      </w:r>
      <w:r>
        <w:rPr>
          <w:rFonts w:ascii="David" w:eastAsiaTheme="minorHAnsi" w:hAnsi="David"/>
          <w:b/>
          <w:bCs/>
          <w:noProof w:val="0"/>
          <w:rtl/>
        </w:rPr>
        <w:t>לבחון</w:t>
      </w:r>
      <w:r>
        <w:rPr>
          <w:rFonts w:ascii="David" w:eastAsiaTheme="minorHAnsi" w:hAnsi="David"/>
          <w:b/>
          <w:bCs/>
          <w:noProof w:val="0"/>
        </w:rPr>
        <w:t xml:space="preserve"> </w:t>
      </w:r>
      <w:r>
        <w:rPr>
          <w:rFonts w:ascii="David" w:eastAsiaTheme="minorHAnsi" w:hAnsi="David"/>
          <w:b/>
          <w:bCs/>
          <w:noProof w:val="0"/>
          <w:rtl/>
        </w:rPr>
        <w:t>האם</w:t>
      </w:r>
      <w:r>
        <w:rPr>
          <w:rFonts w:ascii="David" w:eastAsiaTheme="minorHAnsi" w:hAnsi="David"/>
          <w:b/>
          <w:bCs/>
          <w:noProof w:val="0"/>
        </w:rPr>
        <w:t xml:space="preserve"> </w:t>
      </w:r>
      <w:r>
        <w:rPr>
          <w:rFonts w:ascii="David" w:eastAsiaTheme="minorHAnsi" w:hAnsi="David"/>
          <w:b/>
          <w:bCs/>
          <w:noProof w:val="0"/>
          <w:rtl/>
        </w:rPr>
        <w:t>יש לנתבע</w:t>
      </w:r>
      <w:r>
        <w:rPr>
          <w:rFonts w:ascii="David" w:eastAsiaTheme="minorHAnsi" w:hAnsi="David"/>
          <w:b/>
          <w:bCs/>
          <w:noProof w:val="0"/>
        </w:rPr>
        <w:t xml:space="preserve"> </w:t>
      </w:r>
      <w:r>
        <w:rPr>
          <w:rFonts w:ascii="David" w:eastAsiaTheme="minorHAnsi" w:hAnsi="David"/>
          <w:b/>
          <w:bCs/>
          <w:noProof w:val="0"/>
          <w:rtl/>
        </w:rPr>
        <w:t>הגנה</w:t>
      </w:r>
      <w:r>
        <w:rPr>
          <w:rFonts w:ascii="David" w:eastAsiaTheme="minorHAnsi" w:hAnsi="David"/>
          <w:b/>
          <w:bCs/>
          <w:noProof w:val="0"/>
        </w:rPr>
        <w:t xml:space="preserve"> </w:t>
      </w:r>
      <w:r>
        <w:rPr>
          <w:rFonts w:ascii="David" w:eastAsiaTheme="minorHAnsi" w:hAnsi="David"/>
          <w:b/>
          <w:bCs/>
          <w:noProof w:val="0"/>
          <w:rtl/>
        </w:rPr>
        <w:t>כלשהי</w:t>
      </w:r>
      <w:r>
        <w:rPr>
          <w:rFonts w:ascii="David" w:eastAsiaTheme="minorHAnsi" w:hAnsi="David"/>
          <w:b/>
          <w:bCs/>
          <w:noProof w:val="0"/>
        </w:rPr>
        <w:t xml:space="preserve"> </w:t>
      </w:r>
      <w:r>
        <w:rPr>
          <w:rFonts w:ascii="David" w:eastAsiaTheme="minorHAnsi" w:hAnsi="David"/>
          <w:b/>
          <w:bCs/>
          <w:noProof w:val="0"/>
          <w:rtl/>
        </w:rPr>
        <w:t>מפני</w:t>
      </w:r>
      <w:r>
        <w:rPr>
          <w:rFonts w:ascii="David" w:eastAsiaTheme="minorHAnsi" w:hAnsi="David"/>
          <w:b/>
          <w:bCs/>
          <w:noProof w:val="0"/>
        </w:rPr>
        <w:t xml:space="preserve"> </w:t>
      </w:r>
      <w:r>
        <w:rPr>
          <w:rFonts w:ascii="David" w:eastAsiaTheme="minorHAnsi" w:hAnsi="David"/>
          <w:b/>
          <w:bCs/>
          <w:noProof w:val="0"/>
          <w:rtl/>
        </w:rPr>
        <w:t>התביעה</w:t>
      </w:r>
      <w:r>
        <w:rPr>
          <w:rFonts w:ascii="David" w:eastAsiaTheme="minorHAnsi" w:hAnsi="David"/>
          <w:b/>
          <w:bCs/>
          <w:noProof w:val="0"/>
        </w:rPr>
        <w:t>,</w:t>
      </w:r>
      <w:r>
        <w:rPr>
          <w:rFonts w:ascii="David" w:eastAsiaTheme="minorHAnsi" w:hAnsi="David"/>
          <w:b/>
          <w:bCs/>
          <w:noProof w:val="0"/>
          <w:rtl/>
        </w:rPr>
        <w:t xml:space="preserve"> </w:t>
      </w:r>
      <w:r>
        <w:rPr>
          <w:rFonts w:ascii="David" w:eastAsiaTheme="minorHAnsi" w:hAnsi="David" w:hint="cs"/>
          <w:b/>
          <w:bCs/>
          <w:noProof w:val="0"/>
          <w:rtl/>
        </w:rPr>
        <w:t>ולו</w:t>
      </w:r>
      <w:r>
        <w:rPr>
          <w:rFonts w:ascii="David" w:eastAsiaTheme="minorHAnsi" w:hAnsi="David"/>
          <w:b/>
          <w:bCs/>
          <w:noProof w:val="0"/>
        </w:rPr>
        <w:t xml:space="preserve"> </w:t>
      </w:r>
      <w:r>
        <w:rPr>
          <w:rFonts w:ascii="David" w:eastAsiaTheme="minorHAnsi" w:hAnsi="David"/>
          <w:b/>
          <w:bCs/>
          <w:noProof w:val="0"/>
          <w:rtl/>
        </w:rPr>
        <w:t>לכאורה</w:t>
      </w:r>
      <w:r>
        <w:rPr>
          <w:rFonts w:ascii="David" w:eastAsiaTheme="minorHAnsi" w:hAnsi="David"/>
          <w:b/>
          <w:bCs/>
          <w:noProof w:val="0"/>
        </w:rPr>
        <w:t>,</w:t>
      </w:r>
      <w:r>
        <w:rPr>
          <w:rFonts w:ascii="David" w:eastAsiaTheme="minorHAnsi" w:hAnsi="David"/>
          <w:b/>
          <w:bCs/>
          <w:noProof w:val="0"/>
          <w:rtl/>
        </w:rPr>
        <w:t xml:space="preserve"> כתנאי לביטול</w:t>
      </w:r>
      <w:r>
        <w:rPr>
          <w:rFonts w:ascii="David" w:eastAsiaTheme="minorHAnsi" w:hAnsi="David"/>
          <w:b/>
          <w:bCs/>
          <w:noProof w:val="0"/>
        </w:rPr>
        <w:t xml:space="preserve"> </w:t>
      </w:r>
      <w:r>
        <w:rPr>
          <w:rFonts w:ascii="David" w:eastAsiaTheme="minorHAnsi" w:hAnsi="David"/>
          <w:b/>
          <w:bCs/>
          <w:noProof w:val="0"/>
          <w:rtl/>
        </w:rPr>
        <w:t>פסק</w:t>
      </w:r>
      <w:r>
        <w:rPr>
          <w:rFonts w:ascii="David" w:eastAsiaTheme="minorHAnsi" w:hAnsi="David"/>
          <w:b/>
          <w:bCs/>
          <w:noProof w:val="0"/>
        </w:rPr>
        <w:t xml:space="preserve"> </w:t>
      </w:r>
      <w:r>
        <w:rPr>
          <w:rFonts w:ascii="David" w:eastAsiaTheme="minorHAnsi" w:hAnsi="David"/>
          <w:b/>
          <w:bCs/>
          <w:noProof w:val="0"/>
          <w:rtl/>
        </w:rPr>
        <w:t>הדין</w:t>
      </w:r>
      <w:r>
        <w:rPr>
          <w:rFonts w:ascii="David" w:eastAsiaTheme="minorHAnsi" w:hAnsi="David"/>
          <w:b/>
          <w:bCs/>
          <w:noProof w:val="0"/>
        </w:rPr>
        <w:t>.</w:t>
      </w:r>
    </w:p>
    <w:p w:rsidR="00924442" w:rsidRDefault="00924442" w:rsidP="00924442">
      <w:pPr>
        <w:autoSpaceDE w:val="0"/>
        <w:autoSpaceDN w:val="0"/>
        <w:adjustRightInd w:val="0"/>
        <w:spacing w:after="120" w:line="360" w:lineRule="auto"/>
        <w:ind w:left="850" w:right="737"/>
        <w:jc w:val="both"/>
        <w:rPr>
          <w:rFonts w:ascii="David" w:eastAsiaTheme="minorHAnsi" w:hAnsi="David"/>
          <w:b/>
          <w:bCs/>
          <w:noProof w:val="0"/>
        </w:rPr>
      </w:pPr>
      <w:r>
        <w:rPr>
          <w:rFonts w:ascii="David" w:eastAsiaTheme="minorHAnsi" w:hAnsi="David"/>
          <w:b/>
          <w:bCs/>
          <w:noProof w:val="0"/>
          <w:rtl/>
        </w:rPr>
        <w:t>ההסכם</w:t>
      </w:r>
      <w:r>
        <w:rPr>
          <w:rFonts w:ascii="David" w:eastAsiaTheme="minorHAnsi" w:hAnsi="David"/>
          <w:b/>
          <w:bCs/>
          <w:noProof w:val="0"/>
        </w:rPr>
        <w:t xml:space="preserve"> </w:t>
      </w:r>
      <w:r>
        <w:rPr>
          <w:rFonts w:ascii="David" w:eastAsiaTheme="minorHAnsi" w:hAnsi="David"/>
          <w:b/>
          <w:bCs/>
          <w:noProof w:val="0"/>
          <w:rtl/>
        </w:rPr>
        <w:t>שצורף</w:t>
      </w:r>
      <w:r>
        <w:rPr>
          <w:rFonts w:ascii="David" w:eastAsiaTheme="minorHAnsi" w:hAnsi="David"/>
          <w:b/>
          <w:bCs/>
          <w:noProof w:val="0"/>
        </w:rPr>
        <w:t xml:space="preserve"> </w:t>
      </w:r>
      <w:r>
        <w:rPr>
          <w:rFonts w:ascii="David" w:eastAsiaTheme="minorHAnsi" w:hAnsi="David"/>
          <w:b/>
          <w:bCs/>
          <w:noProof w:val="0"/>
          <w:rtl/>
        </w:rPr>
        <w:t>לבקשה</w:t>
      </w:r>
      <w:r>
        <w:rPr>
          <w:rFonts w:ascii="David" w:eastAsiaTheme="minorHAnsi" w:hAnsi="David"/>
          <w:b/>
          <w:bCs/>
          <w:noProof w:val="0"/>
        </w:rPr>
        <w:t xml:space="preserve"> </w:t>
      </w:r>
      <w:r>
        <w:rPr>
          <w:rFonts w:ascii="David" w:eastAsiaTheme="minorHAnsi" w:hAnsi="David"/>
          <w:b/>
          <w:bCs/>
          <w:noProof w:val="0"/>
          <w:rtl/>
        </w:rPr>
        <w:t>זו</w:t>
      </w:r>
      <w:r>
        <w:rPr>
          <w:rFonts w:ascii="David" w:eastAsiaTheme="minorHAnsi" w:hAnsi="David"/>
          <w:b/>
          <w:bCs/>
          <w:noProof w:val="0"/>
        </w:rPr>
        <w:t xml:space="preserve"> </w:t>
      </w:r>
      <w:r>
        <w:rPr>
          <w:rFonts w:ascii="David" w:eastAsiaTheme="minorHAnsi" w:hAnsi="David"/>
          <w:b/>
          <w:bCs/>
          <w:noProof w:val="0"/>
          <w:rtl/>
        </w:rPr>
        <w:t>עוסק</w:t>
      </w:r>
      <w:r>
        <w:rPr>
          <w:rFonts w:ascii="David" w:eastAsiaTheme="minorHAnsi" w:hAnsi="David"/>
          <w:b/>
          <w:bCs/>
          <w:noProof w:val="0"/>
        </w:rPr>
        <w:t xml:space="preserve"> </w:t>
      </w:r>
      <w:r>
        <w:rPr>
          <w:rFonts w:ascii="David" w:eastAsiaTheme="minorHAnsi" w:hAnsi="David"/>
          <w:b/>
          <w:bCs/>
          <w:noProof w:val="0"/>
          <w:rtl/>
        </w:rPr>
        <w:t>בירושה</w:t>
      </w:r>
      <w:r>
        <w:rPr>
          <w:rFonts w:ascii="David" w:eastAsiaTheme="minorHAnsi" w:hAnsi="David"/>
          <w:b/>
          <w:bCs/>
          <w:noProof w:val="0"/>
        </w:rPr>
        <w:t xml:space="preserve"> </w:t>
      </w:r>
      <w:r>
        <w:rPr>
          <w:rFonts w:ascii="David" w:eastAsiaTheme="minorHAnsi" w:hAnsi="David"/>
          <w:b/>
          <w:bCs/>
          <w:noProof w:val="0"/>
          <w:rtl/>
        </w:rPr>
        <w:t>עתידית</w:t>
      </w:r>
      <w:r>
        <w:rPr>
          <w:rFonts w:ascii="David" w:eastAsiaTheme="minorHAnsi" w:hAnsi="David"/>
          <w:b/>
          <w:bCs/>
          <w:noProof w:val="0"/>
        </w:rPr>
        <w:t xml:space="preserve"> </w:t>
      </w:r>
      <w:r>
        <w:rPr>
          <w:rFonts w:ascii="David" w:eastAsiaTheme="minorHAnsi" w:hAnsi="David"/>
          <w:b/>
          <w:bCs/>
          <w:noProof w:val="0"/>
          <w:rtl/>
        </w:rPr>
        <w:t>ועל</w:t>
      </w:r>
      <w:r>
        <w:rPr>
          <w:rFonts w:ascii="David" w:eastAsiaTheme="minorHAnsi" w:hAnsi="David"/>
          <w:b/>
          <w:bCs/>
          <w:noProof w:val="0"/>
        </w:rPr>
        <w:t xml:space="preserve"> </w:t>
      </w:r>
      <w:r>
        <w:rPr>
          <w:rFonts w:ascii="David" w:eastAsiaTheme="minorHAnsi" w:hAnsi="David"/>
          <w:b/>
          <w:bCs/>
          <w:noProof w:val="0"/>
          <w:rtl/>
        </w:rPr>
        <w:t>כן</w:t>
      </w:r>
      <w:r>
        <w:rPr>
          <w:rFonts w:ascii="David" w:eastAsiaTheme="minorHAnsi" w:hAnsi="David"/>
          <w:b/>
          <w:bCs/>
          <w:noProof w:val="0"/>
        </w:rPr>
        <w:t xml:space="preserve"> </w:t>
      </w:r>
      <w:r>
        <w:rPr>
          <w:rFonts w:ascii="David" w:eastAsiaTheme="minorHAnsi" w:hAnsi="David"/>
          <w:b/>
          <w:bCs/>
          <w:noProof w:val="0"/>
          <w:rtl/>
        </w:rPr>
        <w:t>בטל בהתאם</w:t>
      </w:r>
      <w:r>
        <w:rPr>
          <w:rFonts w:ascii="David" w:eastAsiaTheme="minorHAnsi" w:hAnsi="David"/>
          <w:b/>
          <w:bCs/>
          <w:noProof w:val="0"/>
        </w:rPr>
        <w:t xml:space="preserve"> </w:t>
      </w:r>
      <w:r>
        <w:rPr>
          <w:rFonts w:ascii="David" w:eastAsiaTheme="minorHAnsi" w:hAnsi="David"/>
          <w:b/>
          <w:bCs/>
          <w:noProof w:val="0"/>
          <w:rtl/>
        </w:rPr>
        <w:t>להוראת סע' 8 לחוק</w:t>
      </w:r>
      <w:r>
        <w:rPr>
          <w:rFonts w:ascii="David" w:eastAsiaTheme="minorHAnsi" w:hAnsi="David"/>
          <w:b/>
          <w:bCs/>
          <w:noProof w:val="0"/>
        </w:rPr>
        <w:t xml:space="preserve"> </w:t>
      </w:r>
      <w:r>
        <w:rPr>
          <w:rFonts w:ascii="David" w:eastAsiaTheme="minorHAnsi" w:hAnsi="David"/>
          <w:b/>
          <w:bCs/>
          <w:noProof w:val="0"/>
          <w:rtl/>
        </w:rPr>
        <w:t>הירושה</w:t>
      </w:r>
      <w:r>
        <w:rPr>
          <w:rFonts w:ascii="David" w:eastAsiaTheme="minorHAnsi" w:hAnsi="David"/>
          <w:b/>
          <w:bCs/>
          <w:noProof w:val="0"/>
        </w:rPr>
        <w:t>.</w:t>
      </w:r>
      <w:r>
        <w:rPr>
          <w:rFonts w:ascii="David" w:eastAsiaTheme="minorHAnsi" w:hAnsi="David"/>
          <w:b/>
          <w:bCs/>
          <w:noProof w:val="0"/>
          <w:rtl/>
        </w:rPr>
        <w:t xml:space="preserve"> </w:t>
      </w:r>
    </w:p>
    <w:p w:rsidR="00924442" w:rsidRDefault="00924442" w:rsidP="00924442">
      <w:pPr>
        <w:autoSpaceDE w:val="0"/>
        <w:autoSpaceDN w:val="0"/>
        <w:adjustRightInd w:val="0"/>
        <w:spacing w:after="120" w:line="360" w:lineRule="auto"/>
        <w:ind w:left="850" w:right="737"/>
        <w:jc w:val="both"/>
        <w:rPr>
          <w:rFonts w:ascii="David" w:eastAsiaTheme="minorHAnsi" w:hAnsi="David"/>
          <w:b/>
          <w:bCs/>
          <w:noProof w:val="0"/>
          <w:rtl/>
        </w:rPr>
      </w:pPr>
      <w:r>
        <w:rPr>
          <w:rFonts w:ascii="David" w:eastAsiaTheme="minorHAnsi" w:hAnsi="David"/>
          <w:b/>
          <w:bCs/>
          <w:noProof w:val="0"/>
          <w:rtl/>
        </w:rPr>
        <w:t>בנוסף, לכאורה</w:t>
      </w:r>
      <w:r>
        <w:rPr>
          <w:rFonts w:ascii="David" w:eastAsiaTheme="minorHAnsi" w:hAnsi="David"/>
          <w:b/>
          <w:bCs/>
          <w:noProof w:val="0"/>
        </w:rPr>
        <w:t xml:space="preserve"> </w:t>
      </w:r>
      <w:r>
        <w:rPr>
          <w:rFonts w:ascii="David" w:eastAsiaTheme="minorHAnsi" w:hAnsi="David"/>
          <w:b/>
          <w:bCs/>
          <w:noProof w:val="0"/>
          <w:rtl/>
        </w:rPr>
        <w:t>אחד</w:t>
      </w:r>
      <w:r>
        <w:rPr>
          <w:rFonts w:ascii="David" w:eastAsiaTheme="minorHAnsi" w:hAnsi="David"/>
          <w:b/>
          <w:bCs/>
          <w:noProof w:val="0"/>
        </w:rPr>
        <w:t xml:space="preserve"> </w:t>
      </w:r>
      <w:r>
        <w:rPr>
          <w:rFonts w:ascii="David" w:eastAsiaTheme="minorHAnsi" w:hAnsi="David"/>
          <w:b/>
          <w:bCs/>
          <w:noProof w:val="0"/>
          <w:rtl/>
        </w:rPr>
        <w:t>התובעים</w:t>
      </w:r>
      <w:r>
        <w:rPr>
          <w:rFonts w:ascii="David" w:eastAsiaTheme="minorHAnsi" w:hAnsi="David"/>
          <w:b/>
          <w:bCs/>
          <w:noProof w:val="0"/>
        </w:rPr>
        <w:t xml:space="preserve"> </w:t>
      </w:r>
      <w:r>
        <w:rPr>
          <w:rFonts w:ascii="David" w:eastAsiaTheme="minorHAnsi" w:hAnsi="David"/>
          <w:b/>
          <w:bCs/>
          <w:noProof w:val="0"/>
          <w:rtl/>
        </w:rPr>
        <w:t>היה</w:t>
      </w:r>
      <w:r>
        <w:rPr>
          <w:rFonts w:ascii="David" w:eastAsiaTheme="minorHAnsi" w:hAnsi="David"/>
          <w:b/>
          <w:bCs/>
          <w:noProof w:val="0"/>
        </w:rPr>
        <w:t xml:space="preserve"> </w:t>
      </w:r>
      <w:r>
        <w:rPr>
          <w:rFonts w:ascii="David" w:eastAsiaTheme="minorHAnsi" w:hAnsi="David"/>
          <w:b/>
          <w:bCs/>
          <w:noProof w:val="0"/>
          <w:rtl/>
        </w:rPr>
        <w:t>קטין</w:t>
      </w:r>
      <w:r>
        <w:rPr>
          <w:rFonts w:ascii="David" w:eastAsiaTheme="minorHAnsi" w:hAnsi="David"/>
          <w:b/>
          <w:bCs/>
          <w:noProof w:val="0"/>
        </w:rPr>
        <w:t xml:space="preserve"> </w:t>
      </w:r>
      <w:r>
        <w:rPr>
          <w:rFonts w:ascii="David" w:eastAsiaTheme="minorHAnsi" w:hAnsi="David"/>
          <w:b/>
          <w:bCs/>
          <w:noProof w:val="0"/>
          <w:rtl/>
        </w:rPr>
        <w:t>במועד</w:t>
      </w:r>
      <w:r>
        <w:rPr>
          <w:rFonts w:ascii="David" w:eastAsiaTheme="minorHAnsi" w:hAnsi="David"/>
          <w:b/>
          <w:bCs/>
          <w:noProof w:val="0"/>
        </w:rPr>
        <w:t xml:space="preserve"> </w:t>
      </w:r>
      <w:r>
        <w:rPr>
          <w:rFonts w:ascii="David" w:eastAsiaTheme="minorHAnsi" w:hAnsi="David"/>
          <w:b/>
          <w:bCs/>
          <w:noProof w:val="0"/>
          <w:rtl/>
        </w:rPr>
        <w:t>חתימת</w:t>
      </w:r>
      <w:r>
        <w:rPr>
          <w:rFonts w:ascii="David" w:eastAsiaTheme="minorHAnsi" w:hAnsi="David"/>
          <w:b/>
          <w:bCs/>
          <w:noProof w:val="0"/>
        </w:rPr>
        <w:t xml:space="preserve"> </w:t>
      </w:r>
      <w:r>
        <w:rPr>
          <w:rFonts w:ascii="David" w:eastAsiaTheme="minorHAnsi" w:hAnsi="David"/>
          <w:b/>
          <w:bCs/>
          <w:noProof w:val="0"/>
          <w:rtl/>
        </w:rPr>
        <w:t>אמו על</w:t>
      </w:r>
      <w:r>
        <w:rPr>
          <w:rFonts w:ascii="David" w:eastAsiaTheme="minorHAnsi" w:hAnsi="David"/>
          <w:b/>
          <w:bCs/>
          <w:noProof w:val="0"/>
        </w:rPr>
        <w:t xml:space="preserve"> </w:t>
      </w:r>
      <w:r>
        <w:rPr>
          <w:rFonts w:ascii="David" w:eastAsiaTheme="minorHAnsi" w:hAnsi="David"/>
          <w:b/>
          <w:bCs/>
          <w:noProof w:val="0"/>
          <w:rtl/>
        </w:rPr>
        <w:t>ההסכם</w:t>
      </w:r>
      <w:r>
        <w:rPr>
          <w:rFonts w:ascii="David" w:eastAsiaTheme="minorHAnsi" w:hAnsi="David"/>
          <w:b/>
          <w:bCs/>
          <w:noProof w:val="0"/>
        </w:rPr>
        <w:t xml:space="preserve"> </w:t>
      </w:r>
      <w:r>
        <w:rPr>
          <w:rFonts w:ascii="David" w:eastAsiaTheme="minorHAnsi" w:hAnsi="David"/>
          <w:b/>
          <w:bCs/>
          <w:noProof w:val="0"/>
          <w:rtl/>
        </w:rPr>
        <w:t>בשמו</w:t>
      </w:r>
      <w:r>
        <w:rPr>
          <w:rFonts w:ascii="David" w:eastAsiaTheme="minorHAnsi" w:hAnsi="David"/>
          <w:b/>
          <w:bCs/>
          <w:noProof w:val="0"/>
        </w:rPr>
        <w:t xml:space="preserve"> </w:t>
      </w:r>
      <w:r>
        <w:rPr>
          <w:rFonts w:ascii="David" w:eastAsiaTheme="minorHAnsi" w:hAnsi="David"/>
          <w:b/>
          <w:bCs/>
          <w:noProof w:val="0"/>
          <w:rtl/>
        </w:rPr>
        <w:t>כביכול, וחתימה</w:t>
      </w:r>
      <w:r>
        <w:rPr>
          <w:rFonts w:ascii="David" w:eastAsiaTheme="minorHAnsi" w:hAnsi="David"/>
          <w:b/>
          <w:bCs/>
          <w:noProof w:val="0"/>
        </w:rPr>
        <w:t xml:space="preserve"> </w:t>
      </w:r>
      <w:r>
        <w:rPr>
          <w:rFonts w:ascii="David" w:eastAsiaTheme="minorHAnsi" w:hAnsi="David"/>
          <w:b/>
          <w:bCs/>
          <w:noProof w:val="0"/>
          <w:rtl/>
        </w:rPr>
        <w:t>זו</w:t>
      </w:r>
      <w:r>
        <w:rPr>
          <w:rFonts w:ascii="David" w:eastAsiaTheme="minorHAnsi" w:hAnsi="David"/>
          <w:b/>
          <w:bCs/>
          <w:noProof w:val="0"/>
        </w:rPr>
        <w:t xml:space="preserve"> </w:t>
      </w:r>
      <w:r>
        <w:rPr>
          <w:rFonts w:ascii="David" w:eastAsiaTheme="minorHAnsi" w:hAnsi="David"/>
          <w:b/>
          <w:bCs/>
          <w:noProof w:val="0"/>
          <w:rtl/>
        </w:rPr>
        <w:t>טעונה</w:t>
      </w:r>
      <w:r>
        <w:rPr>
          <w:rFonts w:ascii="David" w:eastAsiaTheme="minorHAnsi" w:hAnsi="David"/>
          <w:b/>
          <w:bCs/>
          <w:noProof w:val="0"/>
        </w:rPr>
        <w:t xml:space="preserve"> </w:t>
      </w:r>
      <w:r>
        <w:rPr>
          <w:rFonts w:ascii="David" w:eastAsiaTheme="minorHAnsi" w:hAnsi="David"/>
          <w:b/>
          <w:bCs/>
          <w:noProof w:val="0"/>
          <w:rtl/>
        </w:rPr>
        <w:t>אישור</w:t>
      </w:r>
      <w:r>
        <w:rPr>
          <w:rFonts w:ascii="David" w:eastAsiaTheme="minorHAnsi" w:hAnsi="David"/>
          <w:b/>
          <w:bCs/>
          <w:noProof w:val="0"/>
        </w:rPr>
        <w:t xml:space="preserve"> </w:t>
      </w:r>
      <w:r>
        <w:rPr>
          <w:rFonts w:ascii="David" w:eastAsiaTheme="minorHAnsi" w:hAnsi="David"/>
          <w:b/>
          <w:bCs/>
          <w:noProof w:val="0"/>
          <w:rtl/>
        </w:rPr>
        <w:t>בית המשפט</w:t>
      </w:r>
      <w:r>
        <w:rPr>
          <w:rFonts w:ascii="David" w:eastAsiaTheme="minorHAnsi" w:hAnsi="David"/>
          <w:b/>
          <w:bCs/>
          <w:noProof w:val="0"/>
        </w:rPr>
        <w:t xml:space="preserve"> </w:t>
      </w:r>
      <w:r>
        <w:rPr>
          <w:rFonts w:ascii="David" w:eastAsiaTheme="minorHAnsi" w:hAnsi="David"/>
          <w:b/>
          <w:bCs/>
          <w:noProof w:val="0"/>
          <w:rtl/>
        </w:rPr>
        <w:t>לפי</w:t>
      </w:r>
      <w:r>
        <w:rPr>
          <w:rFonts w:ascii="David" w:eastAsiaTheme="minorHAnsi" w:hAnsi="David"/>
          <w:b/>
          <w:bCs/>
          <w:noProof w:val="0"/>
        </w:rPr>
        <w:t xml:space="preserve"> </w:t>
      </w:r>
      <w:r>
        <w:rPr>
          <w:rFonts w:ascii="David" w:eastAsiaTheme="minorHAnsi" w:hAnsi="David"/>
          <w:b/>
          <w:bCs/>
          <w:noProof w:val="0"/>
          <w:rtl/>
        </w:rPr>
        <w:t>סע'</w:t>
      </w:r>
      <w:r>
        <w:rPr>
          <w:rFonts w:ascii="David" w:eastAsiaTheme="minorHAnsi" w:hAnsi="David"/>
          <w:b/>
          <w:bCs/>
          <w:noProof w:val="0"/>
        </w:rPr>
        <w:t xml:space="preserve"> 47 </w:t>
      </w:r>
      <w:r>
        <w:rPr>
          <w:rFonts w:ascii="David" w:eastAsiaTheme="minorHAnsi" w:hAnsi="David"/>
          <w:b/>
          <w:bCs/>
          <w:noProof w:val="0"/>
          <w:rtl/>
        </w:rPr>
        <w:t>לחוק</w:t>
      </w:r>
      <w:r>
        <w:rPr>
          <w:rFonts w:ascii="David" w:eastAsiaTheme="minorHAnsi" w:hAnsi="David"/>
          <w:b/>
          <w:bCs/>
          <w:noProof w:val="0"/>
        </w:rPr>
        <w:t xml:space="preserve"> </w:t>
      </w:r>
      <w:r>
        <w:rPr>
          <w:rFonts w:ascii="David" w:eastAsiaTheme="minorHAnsi" w:hAnsi="David"/>
          <w:b/>
          <w:bCs/>
          <w:noProof w:val="0"/>
          <w:rtl/>
        </w:rPr>
        <w:t>הכשרות</w:t>
      </w:r>
      <w:r>
        <w:rPr>
          <w:rFonts w:ascii="David" w:eastAsiaTheme="minorHAnsi" w:hAnsi="David"/>
          <w:b/>
          <w:bCs/>
          <w:noProof w:val="0"/>
        </w:rPr>
        <w:t xml:space="preserve"> </w:t>
      </w:r>
      <w:r>
        <w:rPr>
          <w:rFonts w:ascii="David" w:eastAsiaTheme="minorHAnsi" w:hAnsi="David"/>
          <w:b/>
          <w:bCs/>
          <w:noProof w:val="0"/>
          <w:rtl/>
        </w:rPr>
        <w:t>המשפטית והאפוטרופסות</w:t>
      </w:r>
      <w:r>
        <w:rPr>
          <w:rFonts w:ascii="David" w:eastAsiaTheme="minorHAnsi" w:hAnsi="David"/>
          <w:b/>
          <w:bCs/>
          <w:noProof w:val="0"/>
        </w:rPr>
        <w:t>.</w:t>
      </w:r>
    </w:p>
    <w:p w:rsidR="00924442" w:rsidRDefault="00924442" w:rsidP="00924442">
      <w:pPr>
        <w:spacing w:after="120" w:line="360" w:lineRule="auto"/>
        <w:ind w:left="850" w:right="737" w:hanging="720"/>
        <w:jc w:val="both"/>
        <w:rPr>
          <w:rFonts w:ascii="David" w:hAnsi="David"/>
          <w:b/>
          <w:bCs/>
          <w:noProof w:val="0"/>
        </w:rPr>
      </w:pPr>
      <w:r>
        <w:rPr>
          <w:rFonts w:ascii="David" w:eastAsiaTheme="minorHAnsi" w:hAnsi="David"/>
          <w:b/>
          <w:bCs/>
          <w:noProof w:val="0"/>
          <w:rtl/>
        </w:rPr>
        <w:tab/>
        <w:t>בנסיבות</w:t>
      </w:r>
      <w:r>
        <w:rPr>
          <w:rFonts w:ascii="David" w:eastAsiaTheme="minorHAnsi" w:hAnsi="David"/>
          <w:b/>
          <w:bCs/>
          <w:noProof w:val="0"/>
        </w:rPr>
        <w:t xml:space="preserve"> </w:t>
      </w:r>
      <w:r>
        <w:rPr>
          <w:rFonts w:ascii="David" w:eastAsiaTheme="minorHAnsi" w:hAnsi="David"/>
          <w:b/>
          <w:bCs/>
          <w:noProof w:val="0"/>
          <w:rtl/>
        </w:rPr>
        <w:t>אלה, ובהעדר</w:t>
      </w:r>
      <w:r>
        <w:rPr>
          <w:rFonts w:ascii="David" w:eastAsiaTheme="minorHAnsi" w:hAnsi="David"/>
          <w:b/>
          <w:bCs/>
          <w:noProof w:val="0"/>
        </w:rPr>
        <w:t xml:space="preserve"> </w:t>
      </w:r>
      <w:r>
        <w:rPr>
          <w:rFonts w:ascii="David" w:eastAsiaTheme="minorHAnsi" w:hAnsi="David"/>
          <w:b/>
          <w:bCs/>
          <w:noProof w:val="0"/>
          <w:rtl/>
        </w:rPr>
        <w:t>כל</w:t>
      </w:r>
      <w:r>
        <w:rPr>
          <w:rFonts w:ascii="David" w:eastAsiaTheme="minorHAnsi" w:hAnsi="David"/>
          <w:b/>
          <w:bCs/>
          <w:noProof w:val="0"/>
        </w:rPr>
        <w:t xml:space="preserve"> </w:t>
      </w:r>
      <w:r>
        <w:rPr>
          <w:rFonts w:ascii="David" w:eastAsiaTheme="minorHAnsi" w:hAnsi="David"/>
          <w:b/>
          <w:bCs/>
          <w:noProof w:val="0"/>
          <w:rtl/>
        </w:rPr>
        <w:t>הגנה</w:t>
      </w:r>
      <w:r>
        <w:rPr>
          <w:rFonts w:ascii="David" w:eastAsiaTheme="minorHAnsi" w:hAnsi="David"/>
          <w:b/>
          <w:bCs/>
          <w:noProof w:val="0"/>
        </w:rPr>
        <w:t xml:space="preserve"> </w:t>
      </w:r>
      <w:r>
        <w:rPr>
          <w:rFonts w:ascii="David" w:eastAsiaTheme="minorHAnsi" w:hAnsi="David"/>
          <w:b/>
          <w:bCs/>
          <w:noProof w:val="0"/>
          <w:rtl/>
        </w:rPr>
        <w:t>מפני</w:t>
      </w:r>
      <w:r>
        <w:rPr>
          <w:rFonts w:ascii="David" w:eastAsiaTheme="minorHAnsi" w:hAnsi="David"/>
          <w:b/>
          <w:bCs/>
          <w:noProof w:val="0"/>
        </w:rPr>
        <w:t xml:space="preserve"> </w:t>
      </w:r>
      <w:r>
        <w:rPr>
          <w:rFonts w:ascii="David" w:eastAsiaTheme="minorHAnsi" w:hAnsi="David"/>
          <w:b/>
          <w:bCs/>
          <w:noProof w:val="0"/>
          <w:rtl/>
        </w:rPr>
        <w:t>התביעה</w:t>
      </w:r>
      <w:r>
        <w:rPr>
          <w:rFonts w:ascii="David" w:hAnsi="David"/>
          <w:b/>
          <w:bCs/>
          <w:noProof w:val="0"/>
          <w:rtl/>
        </w:rPr>
        <w:t xml:space="preserve"> – הבקשה נדחית. </w:t>
      </w:r>
    </w:p>
    <w:p w:rsidR="00924442" w:rsidRDefault="00924442" w:rsidP="00924442">
      <w:pPr>
        <w:spacing w:after="120" w:line="360" w:lineRule="auto"/>
        <w:ind w:left="850" w:right="737" w:hanging="720"/>
        <w:jc w:val="both"/>
        <w:rPr>
          <w:rFonts w:ascii="David" w:hAnsi="David"/>
          <w:noProof w:val="0"/>
          <w:rtl/>
        </w:rPr>
      </w:pPr>
      <w:r>
        <w:rPr>
          <w:rFonts w:ascii="David" w:hAnsi="David"/>
          <w:b/>
          <w:bCs/>
          <w:noProof w:val="0"/>
          <w:rtl/>
        </w:rPr>
        <w:tab/>
        <w:t>לפנים משורת הדין, אין צו להוצאות</w:t>
      </w:r>
      <w:r>
        <w:rPr>
          <w:rFonts w:ascii="David" w:hAnsi="David"/>
          <w:noProof w:val="0"/>
          <w:rtl/>
        </w:rPr>
        <w:t>".</w:t>
      </w:r>
    </w:p>
    <w:p w:rsidR="00924442" w:rsidRDefault="00924442" w:rsidP="00924442">
      <w:pPr>
        <w:spacing w:after="120" w:line="360" w:lineRule="auto"/>
        <w:ind w:left="720" w:hanging="720"/>
        <w:jc w:val="both"/>
        <w:rPr>
          <w:rFonts w:ascii="David" w:hAnsi="David"/>
          <w:noProof w:val="0"/>
          <w:rtl/>
        </w:rPr>
      </w:pPr>
      <w:r>
        <w:rPr>
          <w:rFonts w:ascii="David" w:hAnsi="David"/>
          <w:noProof w:val="0"/>
          <w:rtl/>
        </w:rPr>
        <w:t>11.</w:t>
      </w:r>
      <w:r>
        <w:rPr>
          <w:rFonts w:ascii="David" w:hAnsi="David"/>
          <w:noProof w:val="0"/>
          <w:rtl/>
        </w:rPr>
        <w:tab/>
      </w:r>
      <w:r>
        <w:rPr>
          <w:rFonts w:ascii="David" w:hAnsi="David"/>
          <w:noProof w:val="0"/>
          <w:u w:val="single"/>
          <w:rtl/>
        </w:rPr>
        <w:t>ביום 10.5.23 הגיש המבקש "</w:t>
      </w:r>
      <w:r>
        <w:rPr>
          <w:rFonts w:ascii="David" w:hAnsi="David"/>
          <w:b/>
          <w:bCs/>
          <w:noProof w:val="0"/>
          <w:u w:val="single"/>
          <w:rtl/>
        </w:rPr>
        <w:t>בקשה דחופה לעיון חוזר בהחלטה מיום 7.5.23 אשר דחתה את הבקשה לביטול פסק דין</w:t>
      </w:r>
      <w:r>
        <w:rPr>
          <w:rFonts w:ascii="David" w:hAnsi="David"/>
          <w:noProof w:val="0"/>
          <w:u w:val="single"/>
          <w:rtl/>
        </w:rPr>
        <w:t>", במסגרתה טען כדלקמן</w:t>
      </w:r>
      <w:r>
        <w:rPr>
          <w:rFonts w:ascii="David" w:hAnsi="David"/>
          <w:noProof w:val="0"/>
          <w:rtl/>
        </w:rPr>
        <w:t>:</w:t>
      </w:r>
    </w:p>
    <w:p w:rsidR="00924442" w:rsidRDefault="00924442" w:rsidP="00924442">
      <w:pPr>
        <w:spacing w:after="120" w:line="360" w:lineRule="auto"/>
        <w:ind w:left="1276" w:hanging="567"/>
        <w:jc w:val="both"/>
        <w:rPr>
          <w:rFonts w:ascii="David" w:hAnsi="David"/>
          <w:noProof w:val="0"/>
          <w:rtl/>
        </w:rPr>
      </w:pPr>
      <w:r>
        <w:rPr>
          <w:rFonts w:ascii="David" w:hAnsi="David"/>
          <w:noProof w:val="0"/>
          <w:rtl/>
        </w:rPr>
        <w:t>א.</w:t>
      </w:r>
      <w:r>
        <w:rPr>
          <w:rFonts w:ascii="David" w:hAnsi="David"/>
          <w:noProof w:val="0"/>
          <w:rtl/>
        </w:rPr>
        <w:tab/>
        <w:t>קיים הבדל בין "ירושה" לבין "עזבון". סעיף 8 לחוק הירושה נוקט במילה "ירושה" ולא "עזבון", מהטעם שהאיסור בחוק הוא נגד עסקאות בירושה שמונעות מהמוריש לשנות את צוואתו. במקרה דנן ההסכם הוא בנוגע לנכסי העזבון –  רכב, חשבון בנק ודירה הרשומה ע"ש המנוחה;</w:t>
      </w:r>
    </w:p>
    <w:p w:rsidR="00924442" w:rsidRDefault="00924442" w:rsidP="00924442">
      <w:pPr>
        <w:spacing w:after="120" w:line="360" w:lineRule="auto"/>
        <w:ind w:left="1276" w:hanging="567"/>
        <w:jc w:val="both"/>
        <w:rPr>
          <w:rFonts w:ascii="David" w:hAnsi="David"/>
          <w:noProof w:val="0"/>
          <w:rtl/>
        </w:rPr>
      </w:pPr>
      <w:r>
        <w:rPr>
          <w:rFonts w:ascii="David" w:hAnsi="David"/>
          <w:noProof w:val="0"/>
          <w:rtl/>
        </w:rPr>
        <w:t>ב.</w:t>
      </w:r>
      <w:r>
        <w:rPr>
          <w:rFonts w:ascii="David" w:hAnsi="David"/>
          <w:noProof w:val="0"/>
          <w:rtl/>
        </w:rPr>
        <w:tab/>
        <w:t>אין מדובר בהסכם על ירושה אלא על נכסי העזבון, וככזה הוא מותר מכח דיני החוזים;</w:t>
      </w:r>
    </w:p>
    <w:p w:rsidR="00924442" w:rsidRDefault="00924442" w:rsidP="00924442">
      <w:pPr>
        <w:spacing w:after="120" w:line="360" w:lineRule="auto"/>
        <w:ind w:left="1276" w:hanging="567"/>
        <w:jc w:val="both"/>
        <w:rPr>
          <w:rFonts w:ascii="David" w:hAnsi="David"/>
          <w:noProof w:val="0"/>
          <w:rtl/>
        </w:rPr>
      </w:pPr>
      <w:r>
        <w:rPr>
          <w:rFonts w:ascii="David" w:hAnsi="David"/>
          <w:noProof w:val="0"/>
          <w:rtl/>
        </w:rPr>
        <w:t>ג.</w:t>
      </w:r>
      <w:r>
        <w:rPr>
          <w:rFonts w:ascii="David" w:hAnsi="David"/>
          <w:noProof w:val="0"/>
          <w:rtl/>
        </w:rPr>
        <w:tab/>
        <w:t>דיני הירושה לא אוסרים על עשיית פעולה משפטית/חוזה בין יורשים בנכסי העזבון, כפי שנעשה בהסכם קמא, אלא אוסרים הסכם שיש בו התערבות בסדר הירושה שלא על פי צוואה; במקרה דנן ההסכם לא מתיימר להעביר יורש מירושתו או להפוך זר ליורש. כלל החותמים על ההסכם הם יורשים כדין של המנוחה;</w:t>
      </w:r>
    </w:p>
    <w:p w:rsidR="00924442" w:rsidRDefault="00924442" w:rsidP="00924442">
      <w:pPr>
        <w:spacing w:after="120" w:line="360" w:lineRule="auto"/>
        <w:ind w:left="1276" w:hanging="567"/>
        <w:jc w:val="both"/>
        <w:rPr>
          <w:rFonts w:ascii="David" w:hAnsi="David"/>
          <w:noProof w:val="0"/>
          <w:rtl/>
        </w:rPr>
      </w:pPr>
      <w:r>
        <w:rPr>
          <w:rFonts w:ascii="David" w:hAnsi="David"/>
          <w:noProof w:val="0"/>
          <w:rtl/>
        </w:rPr>
        <w:t>ד.</w:t>
      </w:r>
      <w:r>
        <w:rPr>
          <w:rFonts w:ascii="David" w:hAnsi="David"/>
          <w:noProof w:val="0"/>
          <w:rtl/>
        </w:rPr>
        <w:tab/>
        <w:t>חתימת האפוט' לדין של הקטין עדיין לא בוטלה הגם שלא אושרה על ידי בית המשפט. ממילא ה"קטין" כיום כבר הפך לבגיר ויכול להביע עמדתו לעניין ההסכם, וממילא ניתן כיום לאשר הסכמה זו לאחר שתתברר לגופה מדוע ניתנה;</w:t>
      </w:r>
    </w:p>
    <w:p w:rsidR="00924442" w:rsidRDefault="00924442" w:rsidP="00924442">
      <w:pPr>
        <w:spacing w:after="120" w:line="360" w:lineRule="auto"/>
        <w:ind w:left="1276" w:hanging="567"/>
        <w:jc w:val="both"/>
        <w:rPr>
          <w:rFonts w:ascii="David" w:hAnsi="David"/>
          <w:noProof w:val="0"/>
          <w:rtl/>
        </w:rPr>
      </w:pPr>
      <w:r>
        <w:rPr>
          <w:rFonts w:ascii="David" w:hAnsi="David"/>
          <w:noProof w:val="0"/>
          <w:rtl/>
        </w:rPr>
        <w:t>ה.</w:t>
      </w:r>
      <w:r>
        <w:rPr>
          <w:rFonts w:ascii="David" w:hAnsi="David"/>
          <w:noProof w:val="0"/>
          <w:rtl/>
        </w:rPr>
        <w:tab/>
        <w:t>בנסיבות האמורות נראה כי קיימות בהחלט למבקש עילות הגנה בתובענה קמא.</w:t>
      </w:r>
    </w:p>
    <w:p w:rsidR="00B70E1F" w:rsidRDefault="00B70E1F" w:rsidP="00924442">
      <w:pPr>
        <w:spacing w:after="120" w:line="360" w:lineRule="auto"/>
        <w:ind w:left="1276" w:hanging="567"/>
        <w:jc w:val="both"/>
        <w:rPr>
          <w:rFonts w:ascii="David" w:hAnsi="David"/>
          <w:noProof w:val="0"/>
          <w:rtl/>
        </w:rPr>
      </w:pPr>
    </w:p>
    <w:p w:rsidR="00924442" w:rsidRDefault="00924442" w:rsidP="00924442">
      <w:pPr>
        <w:spacing w:after="120" w:line="360" w:lineRule="auto"/>
        <w:ind w:left="720" w:hanging="720"/>
        <w:jc w:val="both"/>
        <w:rPr>
          <w:rFonts w:ascii="David" w:hAnsi="David"/>
          <w:noProof w:val="0"/>
          <w:rtl/>
        </w:rPr>
      </w:pPr>
      <w:r>
        <w:rPr>
          <w:rFonts w:ascii="David" w:hAnsi="David"/>
          <w:noProof w:val="0"/>
          <w:rtl/>
        </w:rPr>
        <w:lastRenderedPageBreak/>
        <w:t>12.</w:t>
      </w:r>
      <w:r>
        <w:rPr>
          <w:rFonts w:ascii="David" w:hAnsi="David"/>
          <w:noProof w:val="0"/>
          <w:rtl/>
        </w:rPr>
        <w:tab/>
      </w:r>
      <w:r>
        <w:rPr>
          <w:rFonts w:ascii="David" w:hAnsi="David"/>
          <w:noProof w:val="0"/>
          <w:u w:val="single"/>
          <w:rtl/>
        </w:rPr>
        <w:t>ביום 14.5.23 ניתנה החלטת בית המשפט קמא על הבקשה לעיון חוזר</w:t>
      </w:r>
      <w:r>
        <w:rPr>
          <w:rFonts w:ascii="David" w:hAnsi="David"/>
          <w:noProof w:val="0"/>
          <w:rtl/>
        </w:rPr>
        <w:t>:</w:t>
      </w:r>
    </w:p>
    <w:p w:rsidR="00924442" w:rsidRDefault="00924442" w:rsidP="00924442">
      <w:pPr>
        <w:spacing w:after="120" w:line="360" w:lineRule="auto"/>
        <w:ind w:left="1276" w:right="851" w:hanging="851"/>
        <w:jc w:val="both"/>
        <w:rPr>
          <w:rFonts w:ascii="David" w:hAnsi="David"/>
          <w:noProof w:val="0"/>
          <w:rtl/>
        </w:rPr>
      </w:pPr>
      <w:r>
        <w:rPr>
          <w:rFonts w:ascii="David" w:hAnsi="David"/>
          <w:noProof w:val="0"/>
          <w:rtl/>
        </w:rPr>
        <w:tab/>
        <w:t>"</w:t>
      </w:r>
      <w:r>
        <w:rPr>
          <w:rFonts w:ascii="David" w:hAnsi="David"/>
          <w:b/>
          <w:bCs/>
          <w:noProof w:val="0"/>
          <w:rtl/>
        </w:rPr>
        <w:t>ביטול פסק דין שניתן לאחר שבוצעה מסירה כדין נתון לשיקול דעת בית המשפט ותלוי בטענות ההגנה. לנתבע אין הגנה מפני התביעה, ולא מצאתי בבקשה זו כל חידוש שיהא בו כדי לשנות מהחלטתי מיום 7.5.23".</w:t>
      </w:r>
    </w:p>
    <w:p w:rsidR="00924442" w:rsidRDefault="00924442" w:rsidP="00924442">
      <w:pPr>
        <w:spacing w:after="120" w:line="360" w:lineRule="auto"/>
        <w:ind w:left="709" w:hanging="851"/>
        <w:jc w:val="both"/>
        <w:rPr>
          <w:rFonts w:ascii="David" w:hAnsi="David"/>
          <w:noProof w:val="0"/>
          <w:rtl/>
        </w:rPr>
      </w:pPr>
      <w:r>
        <w:rPr>
          <w:rFonts w:ascii="David" w:hAnsi="David"/>
          <w:noProof w:val="0"/>
          <w:rtl/>
        </w:rPr>
        <w:tab/>
        <w:t>בגין שתי החלטות אלו, הוגשה בקשת רשות הערעור דנן.</w:t>
      </w:r>
    </w:p>
    <w:p w:rsidR="00924442" w:rsidRDefault="00924442" w:rsidP="00924442">
      <w:pPr>
        <w:spacing w:after="120" w:line="360" w:lineRule="auto"/>
        <w:ind w:left="720" w:hanging="720"/>
        <w:jc w:val="both"/>
        <w:rPr>
          <w:rFonts w:ascii="David" w:hAnsi="David"/>
          <w:noProof w:val="0"/>
          <w:rtl/>
        </w:rPr>
      </w:pPr>
      <w:r>
        <w:rPr>
          <w:rFonts w:ascii="David" w:hAnsi="David"/>
          <w:noProof w:val="0"/>
          <w:rtl/>
        </w:rPr>
        <w:t>13.</w:t>
      </w:r>
      <w:r>
        <w:rPr>
          <w:rFonts w:ascii="David" w:hAnsi="David"/>
          <w:noProof w:val="0"/>
          <w:rtl/>
        </w:rPr>
        <w:tab/>
      </w:r>
      <w:r>
        <w:rPr>
          <w:rFonts w:ascii="David" w:hAnsi="David"/>
          <w:noProof w:val="0"/>
          <w:u w:val="single"/>
          <w:rtl/>
        </w:rPr>
        <w:t>למען הסדר הטוב</w:t>
      </w:r>
      <w:r>
        <w:rPr>
          <w:rFonts w:ascii="David" w:hAnsi="David"/>
          <w:noProof w:val="0"/>
          <w:rtl/>
        </w:rPr>
        <w:t xml:space="preserve"> יצוין כי ביום 4.6.23 הגיש המבקש ערעור (בזכות) בבית משפט זה, וכלל בכתב הערעור הן ערעור על פסק הדין קמא והן ערעור על ההחלטות קמא, שניתנו לאחר פסק הדין קמא (תיק עמ"ש 5500-06-23 – להלן: "</w:t>
      </w:r>
      <w:r>
        <w:rPr>
          <w:rFonts w:ascii="David" w:hAnsi="David"/>
          <w:b/>
          <w:bCs/>
          <w:noProof w:val="0"/>
          <w:rtl/>
        </w:rPr>
        <w:t>תיק העמ"ש</w:t>
      </w:r>
      <w:r>
        <w:rPr>
          <w:rFonts w:ascii="David" w:hAnsi="David"/>
          <w:noProof w:val="0"/>
          <w:rtl/>
        </w:rPr>
        <w:t xml:space="preserve">"). </w:t>
      </w:r>
    </w:p>
    <w:p w:rsidR="00924442" w:rsidRDefault="00924442" w:rsidP="00924442">
      <w:pPr>
        <w:spacing w:after="120" w:line="360" w:lineRule="auto"/>
        <w:ind w:left="720" w:hanging="720"/>
        <w:jc w:val="both"/>
        <w:rPr>
          <w:rFonts w:ascii="David" w:hAnsi="David"/>
          <w:noProof w:val="0"/>
          <w:rtl/>
        </w:rPr>
      </w:pPr>
      <w:r>
        <w:rPr>
          <w:rFonts w:ascii="David" w:hAnsi="David"/>
          <w:noProof w:val="0"/>
          <w:rtl/>
        </w:rPr>
        <w:tab/>
        <w:t>בהחלטתי מיום 5.6.23 התבקש המערער לנמק, מדוע לדעתו הוא רשאי לערער בזכות אף על החלטות בית משפט קמא; ביום 6.6.23 הגיש המבקש את בקשת רשות הערעור דנן, על שתי ההחלטות קמא.</w:t>
      </w:r>
    </w:p>
    <w:p w:rsidR="00924442" w:rsidRDefault="00924442" w:rsidP="00924442">
      <w:pPr>
        <w:spacing w:after="120" w:line="360" w:lineRule="auto"/>
        <w:ind w:left="720" w:hanging="720"/>
        <w:jc w:val="both"/>
        <w:rPr>
          <w:rFonts w:ascii="David" w:hAnsi="David"/>
          <w:noProof w:val="0"/>
          <w:rtl/>
        </w:rPr>
      </w:pPr>
      <w:r>
        <w:rPr>
          <w:rFonts w:ascii="David" w:hAnsi="David"/>
          <w:noProof w:val="0"/>
          <w:rtl/>
        </w:rPr>
        <w:tab/>
      </w:r>
      <w:r>
        <w:rPr>
          <w:rFonts w:ascii="David" w:hAnsi="David"/>
          <w:noProof w:val="0"/>
          <w:u w:val="single"/>
          <w:rtl/>
        </w:rPr>
        <w:t>בהחלטתי בבקשת רשות הערעור מאותו יום, 6.6.23, התבקש המבקש להבהיר כהאי לישנא</w:t>
      </w:r>
      <w:r>
        <w:rPr>
          <w:rFonts w:ascii="David" w:hAnsi="David"/>
          <w:noProof w:val="0"/>
          <w:rtl/>
        </w:rPr>
        <w:t>:</w:t>
      </w:r>
    </w:p>
    <w:p w:rsidR="00924442" w:rsidRDefault="00924442" w:rsidP="00924442">
      <w:pPr>
        <w:spacing w:after="120" w:line="360" w:lineRule="auto"/>
        <w:ind w:left="1276" w:right="1134" w:hanging="425"/>
        <w:jc w:val="both"/>
        <w:rPr>
          <w:rFonts w:ascii="David" w:hAnsi="David"/>
          <w:b/>
          <w:bCs/>
          <w:noProof w:val="0"/>
          <w:rtl/>
        </w:rPr>
      </w:pPr>
      <w:r>
        <w:rPr>
          <w:rFonts w:ascii="David" w:hAnsi="David"/>
          <w:noProof w:val="0"/>
          <w:rtl/>
        </w:rPr>
        <w:tab/>
        <w:t xml:space="preserve">"... </w:t>
      </w:r>
      <w:r>
        <w:rPr>
          <w:rFonts w:ascii="David" w:hAnsi="David"/>
          <w:b/>
          <w:bCs/>
          <w:noProof w:val="0"/>
          <w:rtl/>
        </w:rPr>
        <w:t>האם לא התייתר הצורך לדון ברמ"ש זה, נוכח עצם הגשת הערעור בתיק העמ"ש, שעודו תלוי ועומד;</w:t>
      </w:r>
    </w:p>
    <w:p w:rsidR="00924442" w:rsidRDefault="00924442" w:rsidP="00924442">
      <w:pPr>
        <w:spacing w:after="120" w:line="360" w:lineRule="auto"/>
        <w:ind w:left="1276" w:right="1134" w:hanging="425"/>
        <w:jc w:val="both"/>
        <w:rPr>
          <w:rFonts w:ascii="David" w:hAnsi="David"/>
          <w:b/>
          <w:bCs/>
          <w:noProof w:val="0"/>
          <w:rtl/>
        </w:rPr>
      </w:pPr>
      <w:r>
        <w:rPr>
          <w:rFonts w:ascii="David" w:hAnsi="David"/>
          <w:b/>
          <w:bCs/>
          <w:noProof w:val="0"/>
          <w:rtl/>
        </w:rPr>
        <w:tab/>
        <w:t>כן יבהיר מדוע נדרשת כפילות ההליכים (הן העמ"ש והן הרמ"ש), ולא ניתן להסתפק בהליך הראשון, הוא תיק העמ"ש, שהרי כלל טענותיו בכל הנוגע לביטול פסק הדין קמא יישמעו בדיון שנקבע שם;</w:t>
      </w:r>
    </w:p>
    <w:p w:rsidR="00924442" w:rsidRDefault="00924442" w:rsidP="00924442">
      <w:pPr>
        <w:spacing w:after="120" w:line="360" w:lineRule="auto"/>
        <w:ind w:left="1276" w:right="1134" w:hanging="425"/>
        <w:jc w:val="both"/>
        <w:rPr>
          <w:rFonts w:ascii="David" w:hAnsi="David"/>
          <w:noProof w:val="0"/>
          <w:rtl/>
        </w:rPr>
      </w:pPr>
      <w:r>
        <w:rPr>
          <w:rFonts w:ascii="David" w:hAnsi="David"/>
          <w:b/>
          <w:bCs/>
          <w:noProof w:val="0"/>
          <w:rtl/>
        </w:rPr>
        <w:tab/>
        <w:t>והכל בשים לב לתוצאה הסופית שהמבקש/מערער מבקש להשיג, שהיא ביטול פסק הדין שניתן בהיעדר הגנתו</w:t>
      </w:r>
      <w:r>
        <w:rPr>
          <w:rFonts w:ascii="David" w:hAnsi="David"/>
          <w:noProof w:val="0"/>
          <w:rtl/>
        </w:rPr>
        <w:t>".</w:t>
      </w:r>
    </w:p>
    <w:p w:rsidR="00924442" w:rsidRDefault="00924442" w:rsidP="00924442">
      <w:pPr>
        <w:spacing w:after="120" w:line="360" w:lineRule="auto"/>
        <w:ind w:left="720" w:hanging="720"/>
        <w:jc w:val="both"/>
        <w:rPr>
          <w:rFonts w:ascii="Arial" w:hAnsi="Arial"/>
          <w:noProof w:val="0"/>
          <w:rtl/>
        </w:rPr>
      </w:pPr>
      <w:r>
        <w:rPr>
          <w:rFonts w:ascii="Arial" w:hAnsi="Arial"/>
          <w:noProof w:val="0"/>
          <w:rtl/>
        </w:rPr>
        <w:tab/>
        <w:t>בהבהרתו מיום 8.6.23, שניתנה בתיק העמ"ש, הודיע המבקש/המערער כי לאור דבריי בית המשפט הוא מבקש למחוק את תיק העמ"ש ולברר עד תומה את בקשת רשות הערעור. נעתרתי לבקשתו ומחקתי בפסק דין מאותו יום את תיק העמ"ש.</w:t>
      </w:r>
    </w:p>
    <w:p w:rsidR="00924442" w:rsidRDefault="00924442" w:rsidP="00924442">
      <w:pPr>
        <w:spacing w:after="120" w:line="360" w:lineRule="auto"/>
        <w:ind w:left="720" w:hanging="720"/>
        <w:jc w:val="both"/>
        <w:rPr>
          <w:rFonts w:ascii="Arial" w:hAnsi="Arial"/>
          <w:noProof w:val="0"/>
          <w:rtl/>
        </w:rPr>
      </w:pPr>
    </w:p>
    <w:p w:rsidR="00924442" w:rsidRDefault="00924442" w:rsidP="00924442">
      <w:pPr>
        <w:spacing w:after="120" w:line="360" w:lineRule="auto"/>
        <w:ind w:left="720" w:hanging="720"/>
        <w:jc w:val="both"/>
        <w:rPr>
          <w:rFonts w:ascii="David" w:hAnsi="David"/>
          <w:rtl/>
        </w:rPr>
      </w:pPr>
      <w:r>
        <w:rPr>
          <w:rFonts w:ascii="David" w:hAnsi="David"/>
          <w:b/>
          <w:bCs/>
          <w:u w:val="single"/>
          <w:rtl/>
        </w:rPr>
        <w:t>טענות המבקש בבקשת רשות הערעור</w:t>
      </w:r>
    </w:p>
    <w:p w:rsidR="00924442" w:rsidRDefault="00924442" w:rsidP="00924442">
      <w:pPr>
        <w:spacing w:after="120" w:line="360" w:lineRule="auto"/>
        <w:ind w:left="720" w:hanging="720"/>
        <w:jc w:val="both"/>
        <w:rPr>
          <w:rFonts w:ascii="David" w:hAnsi="David"/>
          <w:rtl/>
        </w:rPr>
      </w:pPr>
      <w:r>
        <w:rPr>
          <w:rFonts w:ascii="David" w:hAnsi="David"/>
          <w:rtl/>
        </w:rPr>
        <w:t>14.</w:t>
      </w:r>
      <w:r>
        <w:rPr>
          <w:rFonts w:ascii="David" w:hAnsi="David"/>
          <w:rtl/>
        </w:rPr>
        <w:tab/>
      </w:r>
      <w:r>
        <w:rPr>
          <w:rFonts w:ascii="David" w:hAnsi="David"/>
          <w:u w:val="single"/>
          <w:rtl/>
        </w:rPr>
        <w:t>להלן תמצית טענות המבקש</w:t>
      </w:r>
      <w:r>
        <w:rPr>
          <w:rFonts w:ascii="David" w:hAnsi="David"/>
          <w:rtl/>
        </w:rPr>
        <w:t>:</w:t>
      </w:r>
    </w:p>
    <w:p w:rsidR="00924442" w:rsidRDefault="00924442" w:rsidP="00924442">
      <w:pPr>
        <w:spacing w:after="120" w:line="360" w:lineRule="auto"/>
        <w:ind w:left="1440" w:hanging="720"/>
        <w:jc w:val="both"/>
        <w:rPr>
          <w:rFonts w:ascii="David" w:hAnsi="David"/>
          <w:rtl/>
        </w:rPr>
      </w:pPr>
      <w:r>
        <w:rPr>
          <w:rFonts w:ascii="David" w:hAnsi="David"/>
          <w:rtl/>
        </w:rPr>
        <w:t>א.</w:t>
      </w:r>
      <w:r>
        <w:rPr>
          <w:rFonts w:ascii="David" w:hAnsi="David"/>
          <w:rtl/>
        </w:rPr>
        <w:tab/>
        <w:t xml:space="preserve">שגה בית משפט קמא משלא ביטל את הפסיקתא ואת פסק הדין מימים 18.4.23 ו- 30.4.23 מתוך חובת וכללי הצדק. המשיבים השיגו את פסק הדין קמא במחטף, בדרך לא מקובלת ובחוסר תום לב, עת העלימו מבית משפט קמא את נושא הסכם העזבון שנחתם בין המבקש למשיבים ובו נרשם מפורשות שהדירה נשוא הערעור, הגם שרשומה ע"ש המנוחה, למעשה שייכת למבקש ואיננה כלולה בעזבון. כמו כן </w:t>
      </w:r>
      <w:r>
        <w:rPr>
          <w:rFonts w:ascii="Arial" w:hAnsi="Arial"/>
          <w:noProof w:val="0"/>
          <w:rtl/>
        </w:rPr>
        <w:t xml:space="preserve">כספים בסך משוערך של למעלה מ-300,000 ₪ </w:t>
      </w:r>
      <w:r>
        <w:rPr>
          <w:rFonts w:ascii="Arial" w:hAnsi="Arial"/>
          <w:noProof w:val="0"/>
          <w:rtl/>
        </w:rPr>
        <w:lastRenderedPageBreak/>
        <w:t>שנמצאים בחשבון הבנק של המנוחה, ושהתובעים קמא ביקשו ליטול מהם שני שליש כפי חלקם בעזבון, הם למעשה כולם שייכים לו ולא כלולים בעזבון המנוחה.</w:t>
      </w:r>
    </w:p>
    <w:p w:rsidR="00924442" w:rsidRDefault="00924442" w:rsidP="00924442">
      <w:pPr>
        <w:spacing w:after="120" w:line="360" w:lineRule="auto"/>
        <w:ind w:left="1440" w:hanging="720"/>
        <w:jc w:val="both"/>
        <w:rPr>
          <w:rFonts w:ascii="David" w:hAnsi="David"/>
          <w:rtl/>
        </w:rPr>
      </w:pPr>
      <w:r>
        <w:rPr>
          <w:rFonts w:ascii="David" w:hAnsi="David"/>
          <w:rtl/>
        </w:rPr>
        <w:t>ב.</w:t>
      </w:r>
      <w:r>
        <w:rPr>
          <w:rFonts w:ascii="David" w:hAnsi="David"/>
          <w:rtl/>
        </w:rPr>
        <w:tab/>
        <w:t>המבקש חזר על טענותיו כפי שנטענו בתצהירו שצורף ל</w:t>
      </w:r>
      <w:r>
        <w:rPr>
          <w:rtl/>
        </w:rPr>
        <w:t>"</w:t>
      </w:r>
      <w:r>
        <w:rPr>
          <w:rFonts w:ascii="David" w:hAnsi="David"/>
          <w:rtl/>
        </w:rPr>
        <w:t xml:space="preserve">בקשה דחופה לביטול פסק דין שניתן בהיעדר הגנה" מיום 3.5.23 בתיק קמא, אשר פורטו בסעיף 9 לעיל. </w:t>
      </w:r>
    </w:p>
    <w:p w:rsidR="00924442" w:rsidRDefault="00924442" w:rsidP="00924442">
      <w:pPr>
        <w:spacing w:after="120" w:line="360" w:lineRule="auto"/>
        <w:ind w:left="1440" w:hanging="720"/>
        <w:jc w:val="both"/>
        <w:rPr>
          <w:rFonts w:ascii="David" w:hAnsi="David"/>
          <w:rtl/>
        </w:rPr>
      </w:pPr>
      <w:r>
        <w:rPr>
          <w:rFonts w:ascii="David" w:hAnsi="David"/>
          <w:rtl/>
        </w:rPr>
        <w:t>ג.</w:t>
      </w:r>
      <w:r>
        <w:rPr>
          <w:rFonts w:ascii="David" w:hAnsi="David"/>
          <w:rtl/>
        </w:rPr>
        <w:tab/>
        <w:t>שגה בית משפט קמא משלא ביטל את פסק הדין קמא מתוקף שיקול דעתו של בית המשפט, ולא התייחס לסיכויי הגנתו הטובים של המבקש, כפי שפורטו הן בבקשה לפסק הדין והן בבקשה לעיון חוזר. בנסיבות אלו היה נכון כי בית המשפט קמא יבטל את פסק הדין שניתן בהיעדר הגנה וייתן למבקש הזדמנות להתגונן מפני התובענה קמא, ידון בתביעה לגופה ולא יחסום את שערי בית המשפט בפניו.</w:t>
      </w:r>
    </w:p>
    <w:p w:rsidR="00924442" w:rsidRDefault="00924442" w:rsidP="00924442">
      <w:pPr>
        <w:spacing w:after="120" w:line="360" w:lineRule="auto"/>
        <w:ind w:left="1440" w:hanging="720"/>
        <w:jc w:val="both"/>
        <w:rPr>
          <w:rFonts w:ascii="David" w:hAnsi="David"/>
          <w:rtl/>
        </w:rPr>
      </w:pPr>
      <w:r>
        <w:rPr>
          <w:rFonts w:ascii="David" w:hAnsi="David"/>
          <w:rtl/>
        </w:rPr>
        <w:t>ד.</w:t>
      </w:r>
      <w:r>
        <w:rPr>
          <w:rFonts w:ascii="David" w:hAnsi="David"/>
          <w:rtl/>
        </w:rPr>
        <w:tab/>
        <w:t xml:space="preserve">פסק דין שניתן בהיעדר הגנה משליך השלכות משמעותיות על בעל הדין שפסק הדין ניתן נגדו, ובענייננו לעניין דירת מגוריו של המבקש. נפסק לא אחת כי ראוי שהשימוש בסקציה זו יישמר למקרים קיצוניים בלבד, בהם בעל הדין הראה זלזול בוטה והתעלם מדעת מההליך, או במקרים בהם לא עלה בידו להצביע על סיכויי הגנה כלשהם. במקרה דנן, המבקש טען לעילות הגנה וכן פעל מיידית לאחר שהבין במה מדובר, ותוך ימים ספורים ממתן פסק הדין ביקש לבטלו.  </w:t>
      </w:r>
    </w:p>
    <w:p w:rsidR="00924442" w:rsidRDefault="00924442" w:rsidP="00924442">
      <w:pPr>
        <w:spacing w:after="120" w:line="360" w:lineRule="auto"/>
        <w:ind w:left="709" w:hanging="709"/>
        <w:jc w:val="both"/>
        <w:rPr>
          <w:rFonts w:ascii="David" w:hAnsi="David"/>
        </w:rPr>
      </w:pPr>
    </w:p>
    <w:p w:rsidR="00924442" w:rsidRDefault="00924442" w:rsidP="00924442">
      <w:pPr>
        <w:spacing w:after="120" w:line="360" w:lineRule="auto"/>
        <w:jc w:val="both"/>
        <w:rPr>
          <w:rFonts w:ascii="David" w:hAnsi="David"/>
          <w:b/>
          <w:bCs/>
          <w:u w:val="single"/>
          <w:rtl/>
        </w:rPr>
      </w:pPr>
      <w:r>
        <w:rPr>
          <w:rFonts w:ascii="David" w:hAnsi="David"/>
          <w:b/>
          <w:bCs/>
          <w:u w:val="single"/>
          <w:rtl/>
        </w:rPr>
        <w:t>טענות המשיבים בבקשת רשות הערעור</w:t>
      </w:r>
    </w:p>
    <w:p w:rsidR="00924442" w:rsidRDefault="00924442" w:rsidP="00924442">
      <w:pPr>
        <w:spacing w:after="120" w:line="360" w:lineRule="auto"/>
        <w:ind w:left="720" w:hanging="720"/>
        <w:jc w:val="both"/>
        <w:rPr>
          <w:rFonts w:ascii="David" w:hAnsi="David"/>
          <w:rtl/>
        </w:rPr>
      </w:pPr>
      <w:r>
        <w:rPr>
          <w:rFonts w:ascii="David" w:hAnsi="David"/>
          <w:rtl/>
        </w:rPr>
        <w:t>15.</w:t>
      </w:r>
      <w:r>
        <w:rPr>
          <w:rFonts w:ascii="David" w:hAnsi="David"/>
          <w:rtl/>
        </w:rPr>
        <w:tab/>
      </w:r>
      <w:r>
        <w:rPr>
          <w:rFonts w:ascii="David" w:hAnsi="David"/>
          <w:u w:val="single"/>
          <w:rtl/>
        </w:rPr>
        <w:t>ביקשתי, וקיבלתי, את תשובת המשיבים לבקשת רשות הערעור. להלן תמצית טענותיהם</w:t>
      </w:r>
      <w:r>
        <w:rPr>
          <w:rFonts w:ascii="David" w:hAnsi="David"/>
          <w:rtl/>
        </w:rPr>
        <w:t xml:space="preserve">: </w:t>
      </w:r>
    </w:p>
    <w:p w:rsidR="00924442" w:rsidRDefault="00924442" w:rsidP="00924442">
      <w:pPr>
        <w:spacing w:after="120" w:line="360" w:lineRule="auto"/>
        <w:ind w:left="1418" w:hanging="709"/>
        <w:jc w:val="both"/>
        <w:rPr>
          <w:rFonts w:ascii="David" w:hAnsi="David"/>
          <w:rtl/>
        </w:rPr>
      </w:pPr>
      <w:r>
        <w:rPr>
          <w:rFonts w:ascii="David" w:hAnsi="David"/>
          <w:rtl/>
        </w:rPr>
        <w:t>א.</w:t>
      </w:r>
      <w:r>
        <w:rPr>
          <w:rFonts w:ascii="David" w:hAnsi="David"/>
          <w:rtl/>
        </w:rPr>
        <w:tab/>
        <w:t>למבקש אין כל סיכוי להתגונן נגד התביעה לגופה וכל טענותיו הן טענות סרק שקריות, מאחר שאותו הסכם בין יורשים לעתיד מיום 8.10.2014 שהוא מסתמך עליו, בוטל על ידו במפורש, בהודעה לכתב לבית המשפט, פחות מארבעה חודשים לאחר שנחתם, ואיננו בתוקף עוד.</w:t>
      </w:r>
    </w:p>
    <w:p w:rsidR="00924442" w:rsidRDefault="00924442" w:rsidP="00924442">
      <w:pPr>
        <w:spacing w:after="120" w:line="360" w:lineRule="auto"/>
        <w:ind w:left="1418" w:hanging="709"/>
        <w:jc w:val="both"/>
        <w:rPr>
          <w:rFonts w:ascii="David" w:hAnsi="David"/>
          <w:rtl/>
        </w:rPr>
      </w:pPr>
      <w:r>
        <w:rPr>
          <w:rFonts w:ascii="David" w:hAnsi="David"/>
          <w:rtl/>
        </w:rPr>
        <w:t>ב.</w:t>
      </w:r>
      <w:r>
        <w:rPr>
          <w:rFonts w:ascii="David" w:hAnsi="David"/>
          <w:rtl/>
        </w:rPr>
        <w:tab/>
        <w:t xml:space="preserve">כמו כן מדובר בהסכם שנרשמו בו פרטי גוש/חלקה שגויים של דירת המגורים, שהיתה אמורה להיות מועברת על שם המבקש, מה שמביא לבטלות ההסכמה על רקע חוסר מסוימות והיעדר גמירת דעת מצד החתומים עליו. </w:t>
      </w:r>
    </w:p>
    <w:p w:rsidR="00924442" w:rsidRDefault="00924442" w:rsidP="00924442">
      <w:pPr>
        <w:spacing w:after="120" w:line="360" w:lineRule="auto"/>
        <w:ind w:left="1418" w:hanging="709"/>
        <w:jc w:val="both"/>
        <w:rPr>
          <w:rFonts w:ascii="David" w:hAnsi="David"/>
          <w:rtl/>
        </w:rPr>
      </w:pPr>
      <w:r>
        <w:rPr>
          <w:rFonts w:ascii="David" w:hAnsi="David"/>
          <w:rtl/>
        </w:rPr>
        <w:t>ג.</w:t>
      </w:r>
      <w:r>
        <w:rPr>
          <w:rFonts w:ascii="David" w:hAnsi="David"/>
          <w:rtl/>
        </w:rPr>
        <w:tab/>
        <w:t xml:space="preserve">למבקש אין הצדקה ראויה להימנעותו מהתגוננות בתובענה קמא, מדובר באדם שנוהג מזה שנים רבות להימנע ברשלנות ובחוסר אכפתיות מהתגוננות בתביעות המוגשות נגדו – ואז שב ועותר לביטול פסקי הדין שניתנו נגדו בהיעדר הגנה. </w:t>
      </w:r>
    </w:p>
    <w:p w:rsidR="00924442" w:rsidRDefault="00924442" w:rsidP="00924442">
      <w:pPr>
        <w:spacing w:after="120" w:line="360" w:lineRule="auto"/>
        <w:ind w:left="1418" w:hanging="709"/>
        <w:jc w:val="both"/>
        <w:rPr>
          <w:rFonts w:ascii="David" w:hAnsi="David"/>
          <w:rtl/>
        </w:rPr>
      </w:pPr>
      <w:r>
        <w:rPr>
          <w:rFonts w:ascii="David" w:hAnsi="David"/>
          <w:rtl/>
        </w:rPr>
        <w:t>ד.</w:t>
      </w:r>
      <w:r>
        <w:rPr>
          <w:rFonts w:ascii="David" w:hAnsi="David"/>
          <w:rtl/>
        </w:rPr>
        <w:tab/>
        <w:t xml:space="preserve">בדירה שבמחלוקת התגוררה עד ליום פטירתה המנוחה, אמם של המבקש ומשיב 1 וסבתו של משיב 2. המבקש התגורר בדירה זו בילדותו ובמשך פרק זמן קצר לפני למעלה מ-15 שנים, אולם בשנים האחרונות לא התגורר שם. זמן קצר לאחר פטירת המנוחה, נכנס המבקש על דעת עצמו לדירה והחל להעביר אליה ציוד וחפצים אישיים, והחל להתגורר בה מבלי לקבל </w:t>
      </w:r>
      <w:r>
        <w:rPr>
          <w:rFonts w:ascii="David" w:hAnsi="David"/>
          <w:rtl/>
        </w:rPr>
        <w:lastRenderedPageBreak/>
        <w:t xml:space="preserve">את הסכמת המשיבים, ומבלי לשלם להם דבר בגין השימוש בדירה. כמו כן המבקש מנע מהמשיבים להיכנס לדירה וסירב לפנותה, חרף פניות ובקשות חוזרות מצד המשיבים. </w:t>
      </w:r>
    </w:p>
    <w:p w:rsidR="00924442" w:rsidRDefault="00924442" w:rsidP="00924442">
      <w:pPr>
        <w:spacing w:after="120" w:line="360" w:lineRule="auto"/>
        <w:ind w:left="1418" w:hanging="709"/>
        <w:jc w:val="both"/>
        <w:rPr>
          <w:rFonts w:ascii="David" w:hAnsi="David"/>
          <w:rtl/>
        </w:rPr>
      </w:pPr>
      <w:r>
        <w:rPr>
          <w:rFonts w:ascii="David" w:hAnsi="David"/>
          <w:rtl/>
        </w:rPr>
        <w:t>ה.</w:t>
      </w:r>
      <w:r>
        <w:rPr>
          <w:rFonts w:ascii="David" w:hAnsi="David"/>
          <w:rtl/>
        </w:rPr>
        <w:tab/>
        <w:t>המבקש יודע לעשות שימוש מתוחכם ומניפולטיבי בנכותו ובמגבלותיו הרגשיות, על מנת להתחמק מאחריות מחד גיסא, ולקבל חמלה מאידך גיסא בעוד הוא מודע היטב לתוצאות פעולותיו ועושה בהן שימוש לרעה מזה שנים, בתיקים רבים ושונים (פורטו בתשובה).</w:t>
      </w:r>
    </w:p>
    <w:p w:rsidR="00924442" w:rsidRDefault="00924442" w:rsidP="00425C2F">
      <w:pPr>
        <w:spacing w:after="120" w:line="360" w:lineRule="auto"/>
        <w:ind w:left="1418" w:hanging="709"/>
        <w:jc w:val="both"/>
        <w:rPr>
          <w:rFonts w:ascii="David" w:hAnsi="David"/>
          <w:rtl/>
        </w:rPr>
      </w:pPr>
      <w:r>
        <w:rPr>
          <w:rFonts w:ascii="David" w:hAnsi="David"/>
          <w:rtl/>
        </w:rPr>
        <w:t>ו.</w:t>
      </w:r>
      <w:r>
        <w:rPr>
          <w:rFonts w:ascii="David" w:hAnsi="David"/>
          <w:rtl/>
        </w:rPr>
        <w:tab/>
        <w:t xml:space="preserve">להשלמת התמונה צוין כי המבקש </w:t>
      </w:r>
      <w:r w:rsidR="00425C2F">
        <w:rPr>
          <w:rFonts w:ascii="David" w:hAnsi="David"/>
          <w:rtl/>
        </w:rPr>
        <w:t>שוכר עד היום דירה אחרת ב</w:t>
      </w:r>
      <w:r w:rsidR="00F9456B">
        <w:rPr>
          <w:rFonts w:ascii="David" w:hAnsi="David" w:hint="cs"/>
          <w:rtl/>
        </w:rPr>
        <w:t xml:space="preserve">עיר </w:t>
      </w:r>
      <w:r w:rsidR="00425C2F">
        <w:rPr>
          <w:rFonts w:ascii="David" w:hAnsi="David" w:hint="cs"/>
          <w:rtl/>
        </w:rPr>
        <w:t>...</w:t>
      </w:r>
      <w:r>
        <w:rPr>
          <w:rFonts w:ascii="David" w:hAnsi="David"/>
          <w:rtl/>
        </w:rPr>
        <w:t xml:space="preserve"> </w:t>
      </w:r>
      <w:r>
        <w:rPr>
          <w:rFonts w:ascii="David" w:hAnsi="David"/>
          <w:u w:val="single"/>
          <w:rtl/>
        </w:rPr>
        <w:t>ובנוסף</w:t>
      </w:r>
      <w:r>
        <w:rPr>
          <w:rFonts w:ascii="David" w:hAnsi="David"/>
          <w:rtl/>
        </w:rPr>
        <w:t xml:space="preserve">, קיבל במתנה דירה ברחוב </w:t>
      </w:r>
      <w:r w:rsidR="00425C2F">
        <w:rPr>
          <w:rFonts w:ascii="David" w:hAnsi="David" w:hint="cs"/>
          <w:rtl/>
        </w:rPr>
        <w:t>א'</w:t>
      </w:r>
      <w:r>
        <w:rPr>
          <w:rFonts w:ascii="David" w:hAnsi="David"/>
          <w:rtl/>
        </w:rPr>
        <w:t xml:space="preserve">, מהמנוחה עת היתה בחיים. הזכויות בדירת </w:t>
      </w:r>
      <w:r w:rsidR="00425C2F">
        <w:rPr>
          <w:rFonts w:ascii="David" w:hAnsi="David" w:hint="cs"/>
          <w:rtl/>
        </w:rPr>
        <w:t>א'</w:t>
      </w:r>
      <w:r>
        <w:rPr>
          <w:rFonts w:ascii="David" w:hAnsi="David"/>
          <w:rtl/>
        </w:rPr>
        <w:t xml:space="preserve"> לא נרשמו בפועל על שם המבקש אולם הדירה נמסרה לו בפועל על ידי האם המנוחה, לשימושו הבלעדי כבר לפני שנים רבות.</w:t>
      </w:r>
    </w:p>
    <w:p w:rsidR="00924442" w:rsidRDefault="00924442" w:rsidP="00425C2F">
      <w:pPr>
        <w:spacing w:after="120" w:line="360" w:lineRule="auto"/>
        <w:ind w:left="1418" w:hanging="709"/>
        <w:jc w:val="both"/>
        <w:rPr>
          <w:rFonts w:ascii="David" w:hAnsi="David"/>
          <w:rtl/>
        </w:rPr>
      </w:pPr>
      <w:r>
        <w:rPr>
          <w:rFonts w:ascii="David" w:hAnsi="David"/>
          <w:rtl/>
        </w:rPr>
        <w:t>ז.</w:t>
      </w:r>
      <w:r>
        <w:rPr>
          <w:rFonts w:ascii="David" w:hAnsi="David"/>
          <w:rtl/>
        </w:rPr>
        <w:tab/>
        <w:t xml:space="preserve">ככל הנראה המבקש פעל במניפולציה מתוחכמת ומתוכננת היטב, על מנת לנכס לעצמו בעתיד ברמייה את דירת האם המנוחה במקום הדירה שקיבל במתנה ברח' </w:t>
      </w:r>
      <w:r w:rsidR="00425C2F">
        <w:rPr>
          <w:rFonts w:ascii="David" w:hAnsi="David" w:hint="cs"/>
          <w:rtl/>
        </w:rPr>
        <w:t>א'</w:t>
      </w:r>
      <w:r>
        <w:rPr>
          <w:rFonts w:ascii="David" w:hAnsi="David"/>
          <w:rtl/>
        </w:rPr>
        <w:t xml:space="preserve">, ואשר שוויה נמוך בהרבה, על ידי כך שבשנת 2014, במעמד הכנת וחתימת ההסכם בין היורשים לעתיד סיפק המבקש את פרטי דירת </w:t>
      </w:r>
      <w:r w:rsidR="00425C2F">
        <w:rPr>
          <w:rFonts w:ascii="David" w:hAnsi="David" w:hint="cs"/>
          <w:rtl/>
        </w:rPr>
        <w:t>א'</w:t>
      </w:r>
      <w:r>
        <w:rPr>
          <w:rFonts w:ascii="David" w:hAnsi="David"/>
          <w:rtl/>
        </w:rPr>
        <w:t>, שעה שבדיעבד הסתבר כי היו אלה פרטי דירת האם. כך יצא שההסכם נחתם תחת טעות ברורה במספר</w:t>
      </w:r>
      <w:r w:rsidR="00425C2F">
        <w:rPr>
          <w:rFonts w:ascii="David" w:hAnsi="David"/>
          <w:rtl/>
        </w:rPr>
        <w:t xml:space="preserve"> הגוש/חלקה של הדירה שהיתה אמור</w:t>
      </w:r>
      <w:r w:rsidR="00425C2F">
        <w:rPr>
          <w:rFonts w:ascii="David" w:hAnsi="David" w:hint="cs"/>
          <w:rtl/>
        </w:rPr>
        <w:t xml:space="preserve">ה </w:t>
      </w:r>
      <w:r>
        <w:rPr>
          <w:rFonts w:ascii="David" w:hAnsi="David"/>
          <w:rtl/>
        </w:rPr>
        <w:t>להירשם על שם המבקש.</w:t>
      </w:r>
    </w:p>
    <w:p w:rsidR="00924442" w:rsidRDefault="00924442" w:rsidP="00924442">
      <w:pPr>
        <w:spacing w:after="120" w:line="360" w:lineRule="auto"/>
        <w:ind w:left="1418" w:hanging="709"/>
        <w:jc w:val="both"/>
        <w:rPr>
          <w:rFonts w:ascii="David" w:hAnsi="David"/>
          <w:rtl/>
        </w:rPr>
      </w:pPr>
      <w:r>
        <w:rPr>
          <w:rFonts w:ascii="David" w:hAnsi="David"/>
          <w:rtl/>
        </w:rPr>
        <w:t>ח.</w:t>
      </w:r>
      <w:r>
        <w:rPr>
          <w:rFonts w:ascii="David" w:hAnsi="David"/>
          <w:rtl/>
        </w:rPr>
        <w:tab/>
        <w:t xml:space="preserve">ההסכם מעולם לא אושר בבית המשפט ובסופו של יום, פחות מארבעה חודשים לאחר חתימתו, חזר בו המבקש מהחתימה על ההסכם, בדרך של הודעה לתיק האפוטרופסות שהתנהל בעניינה של האם. המבקש מושתק ומנוע מלטעון כיום לזכויות כלשהן מכח אותו הסכם שהוא עצמו ביטל. </w:t>
      </w:r>
    </w:p>
    <w:p w:rsidR="00924442" w:rsidRDefault="00010304" w:rsidP="00924442">
      <w:pPr>
        <w:spacing w:after="120" w:line="360" w:lineRule="auto"/>
        <w:ind w:left="1418" w:hanging="709"/>
        <w:jc w:val="both"/>
        <w:rPr>
          <w:rFonts w:ascii="David" w:hAnsi="David"/>
          <w:rtl/>
        </w:rPr>
      </w:pPr>
      <w:r>
        <w:rPr>
          <w:rFonts w:ascii="David" w:hAnsi="David" w:hint="cs"/>
          <w:rtl/>
        </w:rPr>
        <w:t>ט</w:t>
      </w:r>
      <w:r w:rsidR="00924442">
        <w:rPr>
          <w:rFonts w:ascii="David" w:hAnsi="David"/>
          <w:rtl/>
        </w:rPr>
        <w:t>.</w:t>
      </w:r>
      <w:r w:rsidR="00924442">
        <w:rPr>
          <w:rFonts w:ascii="David" w:hAnsi="David"/>
          <w:rtl/>
        </w:rPr>
        <w:tab/>
        <w:t>יש להתיר למשיבים לצרף ראיות המוכיחות את טענות המשיבים המפורטות לס"ק ו-ח לעיל.</w:t>
      </w:r>
    </w:p>
    <w:p w:rsidR="00924442" w:rsidRDefault="00924442" w:rsidP="00924442">
      <w:pPr>
        <w:spacing w:after="120" w:line="360" w:lineRule="auto"/>
        <w:ind w:left="1418" w:hanging="709"/>
        <w:jc w:val="both"/>
        <w:rPr>
          <w:rFonts w:ascii="David" w:hAnsi="David"/>
          <w:rtl/>
        </w:rPr>
      </w:pPr>
    </w:p>
    <w:p w:rsidR="00924442" w:rsidRDefault="00924442" w:rsidP="00924442">
      <w:pPr>
        <w:spacing w:after="120" w:line="360" w:lineRule="auto"/>
        <w:ind w:left="709" w:hanging="709"/>
        <w:jc w:val="both"/>
        <w:rPr>
          <w:rFonts w:ascii="David" w:hAnsi="David"/>
          <w:b/>
          <w:bCs/>
          <w:u w:val="single"/>
          <w:rtl/>
        </w:rPr>
      </w:pPr>
      <w:r>
        <w:rPr>
          <w:rFonts w:ascii="David" w:hAnsi="David"/>
          <w:b/>
          <w:bCs/>
          <w:u w:val="single"/>
          <w:rtl/>
        </w:rPr>
        <w:t>בקשה לצירוף ראיות נוספות לבקשת רשות הערעור</w:t>
      </w:r>
    </w:p>
    <w:p w:rsidR="00924442" w:rsidRDefault="00924442" w:rsidP="00924442">
      <w:pPr>
        <w:spacing w:after="120" w:line="360" w:lineRule="auto"/>
        <w:ind w:left="709" w:hanging="709"/>
        <w:jc w:val="both"/>
        <w:rPr>
          <w:rFonts w:ascii="David" w:hAnsi="David"/>
          <w:rtl/>
        </w:rPr>
      </w:pPr>
      <w:r>
        <w:rPr>
          <w:rFonts w:ascii="David" w:hAnsi="David"/>
          <w:rtl/>
        </w:rPr>
        <w:t>16.</w:t>
      </w:r>
      <w:r>
        <w:rPr>
          <w:rFonts w:ascii="David" w:hAnsi="David"/>
          <w:rtl/>
        </w:rPr>
        <w:tab/>
      </w:r>
      <w:r>
        <w:rPr>
          <w:rFonts w:ascii="David" w:hAnsi="David"/>
          <w:u w:val="single"/>
          <w:rtl/>
        </w:rPr>
        <w:t>בד בבד עם כתב תשובתם, הגישו המשיבים בקשה להוספת ראיות לכתב התשובה</w:t>
      </w:r>
      <w:r>
        <w:rPr>
          <w:rFonts w:ascii="David" w:hAnsi="David"/>
          <w:rtl/>
        </w:rPr>
        <w:t>. לטענת המשיבים, הראיות נועדו לתמוך בטענותיהם אשר סוכמו בסעיף 15(ו-ח) לעיל. בבקשתם טענו המשיבים כי יש להתיר להם לצרף את הראיות – מסמכים שנמצאים כולם בתיק האפוטרופסות שנוהל בין הצדדים כאן, מהטעם כי לא היתה למשיבים אפשרות מוקדמת לדעת בעת הגשת התביעה קמא, כי המבקש יעלה טענות שקריות בדבר זכויותיו בגין ההסכם שלכאורה בוטל על ידו, ואשר מלכתחילה הכיל פרטי דירה שגויים; זאת על אף שהמסמכים היו בידי המשיבים כל העת לסתירת טענות הכחש של המבקש.</w:t>
      </w:r>
    </w:p>
    <w:p w:rsidR="00924442" w:rsidRDefault="00924442" w:rsidP="00924442">
      <w:pPr>
        <w:spacing w:after="120" w:line="360" w:lineRule="auto"/>
        <w:ind w:left="709" w:hanging="709"/>
        <w:jc w:val="both"/>
        <w:rPr>
          <w:rFonts w:ascii="David" w:hAnsi="David"/>
          <w:rtl/>
        </w:rPr>
      </w:pPr>
      <w:r>
        <w:rPr>
          <w:rFonts w:ascii="David" w:hAnsi="David"/>
          <w:rtl/>
        </w:rPr>
        <w:tab/>
        <w:t xml:space="preserve">כן טענו כי אין למנוע מהם כיום הגשת מסמכים מהותיים הדרושים לסתירת טענות הכזב החדשות של המבקש, כאשר מסמכים אלו היו יכולים להיות מוגשים על ידם בנקל לתיק קמא, לו היה המבקש מתגונן במועד הנדרש. </w:t>
      </w:r>
    </w:p>
    <w:p w:rsidR="00924442" w:rsidRDefault="00924442" w:rsidP="00924442">
      <w:pPr>
        <w:spacing w:after="120" w:line="360" w:lineRule="auto"/>
        <w:ind w:left="709" w:hanging="709"/>
        <w:jc w:val="both"/>
        <w:rPr>
          <w:rFonts w:ascii="David" w:hAnsi="David"/>
          <w:rtl/>
        </w:rPr>
      </w:pPr>
      <w:r>
        <w:rPr>
          <w:rFonts w:ascii="David" w:hAnsi="David"/>
          <w:rtl/>
        </w:rPr>
        <w:lastRenderedPageBreak/>
        <w:t>17.</w:t>
      </w:r>
      <w:r>
        <w:rPr>
          <w:rFonts w:ascii="David" w:hAnsi="David"/>
          <w:rtl/>
        </w:rPr>
        <w:tab/>
      </w:r>
      <w:r>
        <w:rPr>
          <w:rFonts w:ascii="David" w:hAnsi="David"/>
          <w:u w:val="single"/>
          <w:rtl/>
        </w:rPr>
        <w:t>בתגובת המבקש לבקשה להוספת ראיות חדשות</w:t>
      </w:r>
      <w:r>
        <w:rPr>
          <w:rFonts w:ascii="David" w:hAnsi="David"/>
          <w:rtl/>
        </w:rPr>
        <w:t>, הותיר הוא את ההכרעה בבקשה לשיקול דעת בית המשפט. המבקש הוסיף וציין כי עיון בטענות המשיבים מלמד, כי מדובר בעיקר בטענות עובדתיות, אשר ראויות להיבחן על ידי הערכאה הדיונית, ודחיית בקשת המבקש לביטול פסק הדין קמא היתה שגויה. עוד טען המבקש, כי בניגוד לטענות המשיבים, המבקש מעולם לא ביטל את ההסכם ולא ביקש לבטלו, כך שאף עניין זה ראוי שיתברר בפני הערכאה קמא, על דרך של קבלת בקשת רשות הערעור והחזרת הדיון לבית משפט קמא.</w:t>
      </w:r>
    </w:p>
    <w:p w:rsidR="00924442" w:rsidRDefault="00924442" w:rsidP="00924442">
      <w:pPr>
        <w:spacing w:after="120" w:line="360" w:lineRule="auto"/>
        <w:ind w:left="720" w:hanging="720"/>
        <w:jc w:val="both"/>
        <w:rPr>
          <w:rFonts w:ascii="David" w:hAnsi="David"/>
          <w:rtl/>
        </w:rPr>
      </w:pPr>
    </w:p>
    <w:p w:rsidR="00924442" w:rsidRDefault="00924442" w:rsidP="00924442">
      <w:pPr>
        <w:spacing w:after="120" w:line="360" w:lineRule="auto"/>
        <w:ind w:left="720" w:hanging="720"/>
        <w:jc w:val="both"/>
        <w:rPr>
          <w:rFonts w:ascii="David" w:hAnsi="David"/>
          <w:b/>
          <w:bCs/>
          <w:u w:val="single"/>
        </w:rPr>
      </w:pPr>
      <w:r>
        <w:rPr>
          <w:rFonts w:ascii="David" w:hAnsi="David"/>
          <w:b/>
          <w:bCs/>
          <w:u w:val="single"/>
          <w:rtl/>
        </w:rPr>
        <w:t>דיון והכרעה</w:t>
      </w:r>
    </w:p>
    <w:p w:rsidR="00924442" w:rsidRDefault="00924442" w:rsidP="00924442">
      <w:pPr>
        <w:spacing w:after="120" w:line="360" w:lineRule="auto"/>
        <w:ind w:left="720" w:hanging="720"/>
        <w:jc w:val="both"/>
        <w:rPr>
          <w:rFonts w:ascii="David" w:hAnsi="David"/>
          <w:b/>
          <w:bCs/>
          <w:rtl/>
        </w:rPr>
      </w:pPr>
      <w:r>
        <w:rPr>
          <w:rFonts w:ascii="David" w:hAnsi="David"/>
          <w:rtl/>
        </w:rPr>
        <w:t>18.</w:t>
      </w:r>
      <w:r>
        <w:rPr>
          <w:rFonts w:ascii="David" w:hAnsi="David"/>
          <w:rtl/>
        </w:rPr>
        <w:tab/>
      </w:r>
      <w:r>
        <w:rPr>
          <w:rFonts w:ascii="David" w:hAnsi="David"/>
          <w:b/>
          <w:bCs/>
          <w:rtl/>
        </w:rPr>
        <w:t xml:space="preserve">לאחר עיון בבקשת רשות הערעור על נספחיה, בבקשה להוספת ראיות והיעתרות לה </w:t>
      </w:r>
      <w:r>
        <w:rPr>
          <w:rFonts w:ascii="David" w:hAnsi="David"/>
          <w:rtl/>
        </w:rPr>
        <w:t>(כפי שאפרט להלן)</w:t>
      </w:r>
      <w:r>
        <w:rPr>
          <w:rFonts w:ascii="David" w:hAnsi="David"/>
          <w:b/>
          <w:bCs/>
          <w:rtl/>
        </w:rPr>
        <w:t>, בתשובת המשי</w:t>
      </w:r>
      <w:r w:rsidR="00010304">
        <w:rPr>
          <w:rFonts w:ascii="David" w:hAnsi="David"/>
          <w:b/>
          <w:bCs/>
          <w:rtl/>
        </w:rPr>
        <w:t>בים</w:t>
      </w:r>
      <w:r>
        <w:rPr>
          <w:rFonts w:ascii="David" w:hAnsi="David"/>
          <w:b/>
          <w:bCs/>
          <w:rtl/>
        </w:rPr>
        <w:t xml:space="preserve"> ובתיק קמא, שוכנעתי ליתן רשות ערעור ולקבל את הערעור באופן שאורה על ביטול פסק דינו של בית משפט קמא ועל פתיחת ההליך קמא מחדש, מכח סמכותי על פי תקנות 138(א)(2) + (5) לתקנות סדר הדין האזרחי, תשע"ט-2018.</w:t>
      </w:r>
    </w:p>
    <w:p w:rsidR="00924442" w:rsidRDefault="00924442" w:rsidP="00924442">
      <w:pPr>
        <w:spacing w:after="120" w:line="360" w:lineRule="auto"/>
        <w:ind w:left="720" w:hanging="720"/>
        <w:jc w:val="both"/>
        <w:rPr>
          <w:rFonts w:ascii="Arial" w:hAnsi="Arial"/>
          <w:b/>
          <w:bCs/>
          <w:noProof w:val="0"/>
          <w:rtl/>
        </w:rPr>
      </w:pPr>
      <w:r>
        <w:rPr>
          <w:rFonts w:ascii="David" w:hAnsi="David"/>
          <w:b/>
          <w:bCs/>
          <w:rtl/>
        </w:rPr>
        <w:tab/>
      </w:r>
      <w:r>
        <w:rPr>
          <w:rFonts w:ascii="David" w:hAnsi="David"/>
          <w:rtl/>
        </w:rPr>
        <w:t>להלן אנמק החלטתי.</w:t>
      </w:r>
    </w:p>
    <w:p w:rsidR="00924442" w:rsidRDefault="00924442" w:rsidP="00924442">
      <w:pPr>
        <w:spacing w:after="120" w:line="360" w:lineRule="auto"/>
        <w:ind w:left="720" w:hanging="720"/>
        <w:jc w:val="both"/>
        <w:rPr>
          <w:rFonts w:ascii="Arial" w:hAnsi="Arial"/>
          <w:noProof w:val="0"/>
          <w:u w:val="single"/>
          <w:rtl/>
        </w:rPr>
      </w:pPr>
      <w:r>
        <w:rPr>
          <w:rFonts w:ascii="Arial" w:hAnsi="Arial"/>
          <w:noProof w:val="0"/>
          <w:rtl/>
        </w:rPr>
        <w:t>19.</w:t>
      </w:r>
      <w:r>
        <w:rPr>
          <w:rFonts w:ascii="Arial" w:hAnsi="Arial"/>
          <w:noProof w:val="0"/>
          <w:rtl/>
        </w:rPr>
        <w:tab/>
        <w:t xml:space="preserve">עסקינן בבקשה לביטול פסק דין שניתן במעמד צד אחד. </w:t>
      </w:r>
    </w:p>
    <w:p w:rsidR="00924442" w:rsidRDefault="00924442" w:rsidP="00924442">
      <w:pPr>
        <w:spacing w:after="120" w:line="360" w:lineRule="auto"/>
        <w:ind w:left="720"/>
        <w:jc w:val="both"/>
        <w:rPr>
          <w:rFonts w:ascii="Arial" w:hAnsi="Arial"/>
          <w:noProof w:val="0"/>
          <w:rtl/>
        </w:rPr>
      </w:pPr>
      <w:r>
        <w:rPr>
          <w:rFonts w:ascii="Arial" w:hAnsi="Arial"/>
          <w:noProof w:val="0"/>
          <w:u w:val="single"/>
          <w:rtl/>
        </w:rPr>
        <w:t xml:space="preserve">יפים לענייננו הדברים שנאמרו בהקשר זה ב-ע"א 3255/19 </w:t>
      </w:r>
      <w:r>
        <w:rPr>
          <w:rFonts w:ascii="Arial" w:hAnsi="Arial"/>
          <w:b/>
          <w:bCs/>
          <w:noProof w:val="0"/>
          <w:u w:val="single"/>
          <w:rtl/>
        </w:rPr>
        <w:t>טליה פבזנר נ' יונתן שפר</w:t>
      </w:r>
      <w:r>
        <w:rPr>
          <w:rFonts w:ascii="Arial" w:hAnsi="Arial"/>
          <w:noProof w:val="0"/>
          <w:u w:val="single"/>
          <w:rtl/>
        </w:rPr>
        <w:t xml:space="preserve"> (30.5.2021) – (להלן: "</w:t>
      </w:r>
      <w:r>
        <w:rPr>
          <w:rFonts w:ascii="Arial" w:hAnsi="Arial"/>
          <w:b/>
          <w:bCs/>
          <w:noProof w:val="0"/>
          <w:u w:val="single"/>
          <w:rtl/>
        </w:rPr>
        <w:t>עניין</w:t>
      </w:r>
      <w:r>
        <w:rPr>
          <w:rFonts w:ascii="Arial" w:hAnsi="Arial"/>
          <w:noProof w:val="0"/>
          <w:u w:val="single"/>
          <w:rtl/>
        </w:rPr>
        <w:t xml:space="preserve"> </w:t>
      </w:r>
      <w:r>
        <w:rPr>
          <w:rFonts w:ascii="Arial" w:hAnsi="Arial"/>
          <w:b/>
          <w:bCs/>
          <w:noProof w:val="0"/>
          <w:u w:val="single"/>
          <w:rtl/>
        </w:rPr>
        <w:t>פבזנר</w:t>
      </w:r>
      <w:r>
        <w:rPr>
          <w:rFonts w:ascii="Arial" w:hAnsi="Arial"/>
          <w:noProof w:val="0"/>
          <w:u w:val="single"/>
          <w:rtl/>
        </w:rPr>
        <w:t>")</w:t>
      </w:r>
      <w:r>
        <w:rPr>
          <w:rFonts w:ascii="Arial" w:hAnsi="Arial"/>
          <w:noProof w:val="0"/>
          <w:rtl/>
        </w:rPr>
        <w:t>:</w:t>
      </w:r>
    </w:p>
    <w:p w:rsidR="00924442" w:rsidRDefault="00924442" w:rsidP="00924442">
      <w:pPr>
        <w:spacing w:after="120" w:line="360" w:lineRule="auto"/>
        <w:ind w:left="1276" w:right="992" w:hanging="284"/>
        <w:jc w:val="both"/>
        <w:rPr>
          <w:rFonts w:ascii="David" w:hAnsi="David"/>
          <w:b/>
          <w:bCs/>
          <w:noProof w:val="0"/>
          <w:rtl/>
        </w:rPr>
      </w:pPr>
      <w:r>
        <w:rPr>
          <w:rFonts w:ascii="Arial" w:hAnsi="Arial"/>
          <w:noProof w:val="0"/>
          <w:rtl/>
        </w:rPr>
        <w:tab/>
      </w:r>
      <w:r>
        <w:rPr>
          <w:rFonts w:ascii="David" w:hAnsi="David"/>
          <w:noProof w:val="0"/>
          <w:rtl/>
        </w:rPr>
        <w:t>"</w:t>
      </w:r>
      <w:r>
        <w:rPr>
          <w:rFonts w:ascii="David" w:hAnsi="David"/>
          <w:b/>
          <w:bCs/>
          <w:rtl/>
        </w:rPr>
        <w:t>קיימת אפשרות נוספת לבקש ביטול של פסק דין שניתן במעמד צד אחד, בהתאם לקבוע בתקנה 131 לתקנות סדר הדין האזרחי, התשע"ט-2018 (להלן: התקנות החדשות). במסגרת תקנה זו, ניתנה לבית המשפט סמכות לבטל פסק דין כאמור, 'בתנאים שייראו לו', אם הוגשה בקשת ביטול מטעם בעל הדין 'שנגדו ניתנה ההחלטה' בתוך 30 ימים למן היום שבו הומצאה לו... הסדר זה, יסודו בכך שפסק דין המטיל חובות על אדם, מבלי שניתן לו יומו בבית המשפט, ובלא שהיתה לו הזדמנות להתגונן מפני התביעה נגדו – הריהו פסק דין פגום (ע"א 64/53 כהן נ' יצחק, פ"ד ח 395, 397 (1954)). על כן, נקבע בפסיקה כי הנטייה תהא להורות על ביטול פסקי דין מעין אלה, ככל שניתן טעם מספיק להעדר ההתגוננות או ההתייצבות, תוך חיוב בעל הדין מבקש הביטול בהוצאות, בהתאם לנסיבות העניין.</w:t>
      </w:r>
    </w:p>
    <w:p w:rsidR="00924442" w:rsidRDefault="00924442" w:rsidP="00924442">
      <w:pPr>
        <w:pStyle w:val="Ruller40"/>
        <w:spacing w:after="120"/>
        <w:ind w:left="1276" w:right="992" w:hanging="284"/>
        <w:rPr>
          <w:rFonts w:ascii="David" w:hAnsi="David" w:cs="David"/>
          <w:b/>
          <w:bCs/>
          <w:sz w:val="24"/>
          <w:szCs w:val="24"/>
          <w:rtl/>
        </w:rPr>
      </w:pPr>
      <w:r>
        <w:rPr>
          <w:rFonts w:ascii="David" w:hAnsi="David" w:cs="David"/>
          <w:b/>
          <w:bCs/>
          <w:sz w:val="24"/>
          <w:szCs w:val="24"/>
          <w:rtl/>
        </w:rPr>
        <w:tab/>
        <w:t>...</w:t>
      </w:r>
    </w:p>
    <w:p w:rsidR="00924442" w:rsidRDefault="00924442" w:rsidP="00924442">
      <w:pPr>
        <w:spacing w:after="120" w:line="360" w:lineRule="auto"/>
        <w:ind w:left="1276" w:right="992" w:hanging="284"/>
        <w:jc w:val="both"/>
        <w:rPr>
          <w:rFonts w:ascii="David" w:hAnsi="David"/>
          <w:b/>
          <w:bCs/>
          <w:noProof w:val="0"/>
          <w:rtl/>
        </w:rPr>
      </w:pPr>
      <w:r>
        <w:rPr>
          <w:rFonts w:ascii="David" w:hAnsi="David"/>
          <w:b/>
          <w:bCs/>
          <w:rtl/>
        </w:rPr>
        <w:tab/>
        <w:t xml:space="preserve">שני היבטים יש להדגיש בקשר לאפשרות זו, לביטול פסק דין שניתן במעמד צד אחד: ראשית, ברי כי תנאי בלעדיו אין לכניסה בשערי תקנה 131 לתקנות החדשות, הריהו כי פסק הדין ניתן 'לפי צד אחד'; לאמור, כאשר פסק הדין ניתן </w:t>
      </w:r>
      <w:r>
        <w:rPr>
          <w:rFonts w:ascii="David" w:hAnsi="David"/>
          <w:b/>
          <w:bCs/>
          <w:rtl/>
        </w:rPr>
        <w:lastRenderedPageBreak/>
        <w:t>מבלי שבעל הדין התייצב לדיון בעניינו, או אם לא התגונן מפני הטענות שהועלו נגדו</w:t>
      </w:r>
      <w:r>
        <w:rPr>
          <w:rFonts w:ascii="David" w:hAnsi="David"/>
          <w:b/>
          <w:bCs/>
          <w:noProof w:val="0"/>
          <w:rtl/>
        </w:rPr>
        <w:t>...</w:t>
      </w:r>
    </w:p>
    <w:p w:rsidR="00924442" w:rsidRDefault="00924442" w:rsidP="00924442">
      <w:pPr>
        <w:spacing w:after="120" w:line="360" w:lineRule="auto"/>
        <w:ind w:left="1276" w:right="992" w:hanging="284"/>
        <w:jc w:val="both"/>
        <w:rPr>
          <w:rFonts w:ascii="David" w:hAnsi="David"/>
          <w:b/>
          <w:bCs/>
          <w:noProof w:val="0"/>
          <w:rtl/>
        </w:rPr>
      </w:pPr>
      <w:r>
        <w:rPr>
          <w:rFonts w:ascii="David" w:hAnsi="David"/>
          <w:b/>
          <w:bCs/>
          <w:noProof w:val="0"/>
          <w:rtl/>
        </w:rPr>
        <w:tab/>
        <w:t>...</w:t>
      </w:r>
    </w:p>
    <w:p w:rsidR="00924442" w:rsidRDefault="00924442" w:rsidP="00924442">
      <w:pPr>
        <w:spacing w:after="120" w:line="360" w:lineRule="auto"/>
        <w:ind w:left="1276" w:right="992" w:hanging="284"/>
        <w:jc w:val="both"/>
        <w:rPr>
          <w:rFonts w:ascii="David" w:hAnsi="David"/>
          <w:noProof w:val="0"/>
          <w:rtl/>
        </w:rPr>
      </w:pPr>
      <w:r>
        <w:rPr>
          <w:rFonts w:ascii="David" w:hAnsi="David"/>
          <w:b/>
          <w:bCs/>
          <w:noProof w:val="0"/>
          <w:rtl/>
        </w:rPr>
        <w:tab/>
        <w:t>פסק דין שניתן במעמד צד אחד לרוב יבוטל, בכפוף לפסיקת הוצאות, אם נימק מבקש הביטול, כנדרש, מהם הטעמים שבגינם לא התייצב, או לא התגונן מפני ההליך נגדו</w:t>
      </w:r>
      <w:r>
        <w:rPr>
          <w:rFonts w:ascii="David" w:hAnsi="David"/>
          <w:noProof w:val="0"/>
          <w:rtl/>
        </w:rPr>
        <w:t>..."</w:t>
      </w:r>
      <w:r>
        <w:rPr>
          <w:rFonts w:ascii="Arial" w:hAnsi="Arial"/>
          <w:noProof w:val="0"/>
          <w:rtl/>
        </w:rPr>
        <w:t xml:space="preserve"> (ציטוט מתוך פסקאות 15-17).</w:t>
      </w:r>
    </w:p>
    <w:p w:rsidR="00924442" w:rsidRDefault="00924442" w:rsidP="00924442">
      <w:pPr>
        <w:spacing w:after="120" w:line="360" w:lineRule="auto"/>
        <w:ind w:left="720" w:hanging="720"/>
        <w:jc w:val="both"/>
        <w:rPr>
          <w:rFonts w:ascii="David" w:hAnsi="David"/>
          <w:rtl/>
        </w:rPr>
      </w:pPr>
      <w:r>
        <w:rPr>
          <w:rFonts w:ascii="David" w:hAnsi="David"/>
          <w:rtl/>
        </w:rPr>
        <w:tab/>
      </w:r>
      <w:r>
        <w:rPr>
          <w:rFonts w:ascii="David" w:hAnsi="David"/>
          <w:u w:val="single"/>
          <w:rtl/>
        </w:rPr>
        <w:t>ראו לעניין זה גם</w:t>
      </w:r>
      <w:r>
        <w:rPr>
          <w:rFonts w:ascii="David" w:hAnsi="David"/>
          <w:rtl/>
        </w:rPr>
        <w:t xml:space="preserve">: רע"א 1788/20 </w:t>
      </w:r>
      <w:r>
        <w:rPr>
          <w:rFonts w:ascii="David" w:hAnsi="David"/>
          <w:b/>
          <w:bCs/>
          <w:rtl/>
        </w:rPr>
        <w:t>משה אברג'ל נ' אלקטרז איילנד בע"מ</w:t>
      </w:r>
      <w:r>
        <w:rPr>
          <w:rFonts w:ascii="David" w:hAnsi="David"/>
          <w:rtl/>
        </w:rPr>
        <w:t xml:space="preserve"> (5.11.2020), פסקה 8.</w:t>
      </w:r>
    </w:p>
    <w:p w:rsidR="00924442" w:rsidRDefault="00924442" w:rsidP="00924442">
      <w:pPr>
        <w:spacing w:after="120" w:line="360" w:lineRule="auto"/>
        <w:ind w:left="720" w:hanging="720"/>
        <w:jc w:val="both"/>
        <w:rPr>
          <w:rFonts w:ascii="David" w:hAnsi="David"/>
          <w:rtl/>
        </w:rPr>
      </w:pPr>
      <w:r>
        <w:rPr>
          <w:rFonts w:ascii="David" w:hAnsi="David"/>
          <w:rtl/>
        </w:rPr>
        <w:t>20.</w:t>
      </w:r>
      <w:r>
        <w:rPr>
          <w:rFonts w:ascii="David" w:hAnsi="David"/>
          <w:rtl/>
        </w:rPr>
        <w:tab/>
        <w:t>נבחן האם בענייננו מתקיימים התנאים שהותוו ב</w:t>
      </w:r>
      <w:r>
        <w:rPr>
          <w:rFonts w:ascii="David" w:hAnsi="David"/>
          <w:b/>
          <w:bCs/>
          <w:rtl/>
        </w:rPr>
        <w:t>עניין פבזנר</w:t>
      </w:r>
      <w:r>
        <w:rPr>
          <w:rFonts w:ascii="David" w:hAnsi="David"/>
          <w:rtl/>
        </w:rPr>
        <w:t>, היינו האם נכנס המבקש בשערי תקנה 131 לתקנות סדר הדין האזרחי, התשע"ט-2018 (להלן: "</w:t>
      </w:r>
      <w:r>
        <w:rPr>
          <w:rFonts w:ascii="David" w:hAnsi="David"/>
          <w:b/>
          <w:bCs/>
          <w:rtl/>
        </w:rPr>
        <w:t>התקנות</w:t>
      </w:r>
      <w:r>
        <w:rPr>
          <w:rFonts w:ascii="David" w:hAnsi="David"/>
          <w:rtl/>
        </w:rPr>
        <w:t>") וככל שכן, האם "</w:t>
      </w:r>
      <w:r>
        <w:rPr>
          <w:rFonts w:ascii="David" w:hAnsi="David"/>
          <w:b/>
          <w:bCs/>
          <w:rtl/>
        </w:rPr>
        <w:t>ניתן טעם מספיק להעדר ההתגוננות או ההתייצבות"</w:t>
      </w:r>
      <w:r>
        <w:rPr>
          <w:rFonts w:ascii="David" w:hAnsi="David"/>
          <w:rtl/>
        </w:rPr>
        <w:t xml:space="preserve"> בתיק קמא.</w:t>
      </w:r>
    </w:p>
    <w:p w:rsidR="00924442" w:rsidRDefault="00924442" w:rsidP="00924442">
      <w:pPr>
        <w:spacing w:after="120" w:line="360" w:lineRule="auto"/>
        <w:ind w:left="720" w:hanging="720"/>
        <w:jc w:val="both"/>
        <w:rPr>
          <w:rFonts w:ascii="David" w:hAnsi="David"/>
          <w:rtl/>
        </w:rPr>
      </w:pPr>
      <w:r>
        <w:rPr>
          <w:rFonts w:ascii="David" w:hAnsi="David"/>
          <w:rtl/>
        </w:rPr>
        <w:t>21.</w:t>
      </w:r>
      <w:r>
        <w:rPr>
          <w:rFonts w:ascii="David" w:hAnsi="David"/>
          <w:rtl/>
        </w:rPr>
        <w:tab/>
      </w:r>
      <w:r>
        <w:rPr>
          <w:rFonts w:ascii="David" w:hAnsi="David"/>
          <w:u w:val="single"/>
          <w:rtl/>
        </w:rPr>
        <w:t>תקנה 131 לתקנות קובעת כדלקמן</w:t>
      </w:r>
      <w:r>
        <w:rPr>
          <w:rFonts w:ascii="David" w:hAnsi="David"/>
          <w:rtl/>
        </w:rPr>
        <w:t>:</w:t>
      </w:r>
    </w:p>
    <w:p w:rsidR="00924442" w:rsidRDefault="00924442" w:rsidP="00924442">
      <w:pPr>
        <w:spacing w:after="120" w:line="360" w:lineRule="auto"/>
        <w:ind w:left="1276" w:right="993" w:hanging="720"/>
        <w:jc w:val="both"/>
        <w:rPr>
          <w:rFonts w:ascii="David" w:hAnsi="David"/>
          <w:rtl/>
        </w:rPr>
      </w:pPr>
      <w:r>
        <w:rPr>
          <w:rFonts w:ascii="David" w:hAnsi="David"/>
          <w:rtl/>
        </w:rPr>
        <w:tab/>
        <w:t>"</w:t>
      </w:r>
      <w:r>
        <w:rPr>
          <w:rFonts w:ascii="David" w:hAnsi="David"/>
          <w:b/>
          <w:bCs/>
          <w:rtl/>
        </w:rPr>
        <w:t>131.</w:t>
      </w:r>
      <w:r>
        <w:rPr>
          <w:rFonts w:ascii="David" w:hAnsi="David"/>
          <w:b/>
          <w:bCs/>
          <w:rtl/>
        </w:rPr>
        <w:tab/>
        <w:t>נתן בית המשפט החלטה לפי צד אחד והגיש בעל הדין שנגדו ניתנה ההחלטה בקשת ביטול בתוך שלושים ימים מיום שהומצאה לו ההחלטה, רשאי בית המשפט לבטלה, בתנאים שייראו לו; הוראה זו לא תחול על פנייה לבית המשפט לפי תקנה 33(ד)</w:t>
      </w:r>
      <w:r>
        <w:rPr>
          <w:rFonts w:ascii="David" w:hAnsi="David"/>
          <w:rtl/>
        </w:rPr>
        <w:t>".</w:t>
      </w:r>
    </w:p>
    <w:p w:rsidR="00924442" w:rsidRDefault="00924442" w:rsidP="00924442">
      <w:pPr>
        <w:tabs>
          <w:tab w:val="left" w:pos="9356"/>
        </w:tabs>
        <w:spacing w:after="120" w:line="360" w:lineRule="auto"/>
        <w:ind w:left="709"/>
        <w:jc w:val="both"/>
        <w:rPr>
          <w:rFonts w:ascii="David" w:hAnsi="David"/>
          <w:rtl/>
        </w:rPr>
      </w:pPr>
      <w:r>
        <w:rPr>
          <w:rFonts w:ascii="David" w:hAnsi="David"/>
          <w:rtl/>
        </w:rPr>
        <w:t>בענייננו, פסק הדין קמא ניתן במעמד צד אחד ביום 30.4.2023, והבקשה לביטולו הוגשה על ידי המבקש ביום 3.5.2023, היינו כארבעה ימים לאחר מתן פסק הדין קמא. בכך עומד המבקש בשני התנאים שנקבעו בתקנה 131 – פסק הדין ניתן נגדו במעמד צד אחד, והוא הגיש את בקשת הביטול בתוך פחות מ-30 ימים לאחר מכן.</w:t>
      </w:r>
    </w:p>
    <w:p w:rsidR="00924442" w:rsidRDefault="00924442" w:rsidP="00924442">
      <w:pPr>
        <w:spacing w:after="120" w:line="360" w:lineRule="auto"/>
        <w:ind w:left="720" w:hanging="720"/>
        <w:jc w:val="both"/>
        <w:rPr>
          <w:rFonts w:ascii="David" w:hAnsi="David"/>
          <w:rtl/>
        </w:rPr>
      </w:pPr>
      <w:r>
        <w:rPr>
          <w:rFonts w:ascii="David" w:hAnsi="David"/>
          <w:rtl/>
        </w:rPr>
        <w:t>22.</w:t>
      </w:r>
      <w:r>
        <w:rPr>
          <w:rFonts w:ascii="David" w:hAnsi="David"/>
          <w:rtl/>
        </w:rPr>
        <w:tab/>
        <w:t xml:space="preserve">לשון התקנה קובעת כי בית המשפט </w:t>
      </w:r>
      <w:r>
        <w:rPr>
          <w:rFonts w:ascii="David" w:hAnsi="David"/>
          <w:b/>
          <w:bCs/>
          <w:rtl/>
        </w:rPr>
        <w:t>רשאי</w:t>
      </w:r>
      <w:r>
        <w:rPr>
          <w:rFonts w:ascii="David" w:hAnsi="David"/>
          <w:rtl/>
        </w:rPr>
        <w:t xml:space="preserve"> לבטל את פסק הדין שניתן במעמד צד אחד, "</w:t>
      </w:r>
      <w:r>
        <w:rPr>
          <w:rFonts w:ascii="David" w:hAnsi="David"/>
          <w:b/>
          <w:bCs/>
          <w:rtl/>
        </w:rPr>
        <w:t>בתנאים שייראו לו</w:t>
      </w:r>
      <w:r>
        <w:rPr>
          <w:rFonts w:ascii="David" w:hAnsi="David"/>
          <w:rtl/>
        </w:rPr>
        <w:t>"; ב</w:t>
      </w:r>
      <w:r>
        <w:rPr>
          <w:rFonts w:ascii="David" w:hAnsi="David"/>
          <w:b/>
          <w:bCs/>
          <w:rtl/>
        </w:rPr>
        <w:t xml:space="preserve">עניין פבזנר </w:t>
      </w:r>
      <w:r>
        <w:rPr>
          <w:rFonts w:ascii="David" w:hAnsi="David"/>
          <w:rtl/>
        </w:rPr>
        <w:t>נכתב בהקשר זה כי יש לבחון האם "</w:t>
      </w:r>
      <w:r>
        <w:rPr>
          <w:rFonts w:ascii="David" w:hAnsi="David"/>
          <w:b/>
          <w:bCs/>
          <w:rtl/>
        </w:rPr>
        <w:t>ניתן טעם מספיק להעדר ההתגוננות או ההתייצבות"</w:t>
      </w:r>
      <w:r>
        <w:rPr>
          <w:rFonts w:ascii="David" w:hAnsi="David"/>
          <w:rtl/>
        </w:rPr>
        <w:t xml:space="preserve"> ונפנה לבחון זאת בענייננו.</w:t>
      </w:r>
    </w:p>
    <w:p w:rsidR="00924442" w:rsidRDefault="00924442" w:rsidP="00924442">
      <w:pPr>
        <w:spacing w:after="120" w:line="360" w:lineRule="auto"/>
        <w:ind w:left="720" w:hanging="720"/>
        <w:jc w:val="both"/>
        <w:rPr>
          <w:rFonts w:ascii="David" w:hAnsi="David"/>
          <w:rtl/>
        </w:rPr>
      </w:pPr>
      <w:r>
        <w:rPr>
          <w:rFonts w:ascii="David" w:hAnsi="David"/>
          <w:rtl/>
        </w:rPr>
        <w:tab/>
        <w:t xml:space="preserve">המבקש טען, וטענתו זו לא רק שלא נסתרה על ידי המשיבים, אלא אף אושרה על ידם (סעיף 20 לכתב התשובה של המשיבים ברמ"ש), כי הוא לוקה בנפשו באופן משמעותי, אשר שיש בו להסביר לכאורה את מחדליו בתיק קמא לעניין אי הגשת כתב הגנתו במועד (כפי שנימק המבקש בבקשותיו בתיק קמא, ופורט בסעיף 9 לעיל). </w:t>
      </w:r>
    </w:p>
    <w:p w:rsidR="00924442" w:rsidRDefault="00924442" w:rsidP="00924442">
      <w:pPr>
        <w:spacing w:after="120" w:line="360" w:lineRule="auto"/>
        <w:ind w:left="720" w:hanging="720"/>
        <w:jc w:val="both"/>
        <w:rPr>
          <w:rFonts w:ascii="David" w:hAnsi="David"/>
          <w:rtl/>
        </w:rPr>
      </w:pPr>
      <w:r>
        <w:rPr>
          <w:rFonts w:ascii="David" w:hAnsi="David"/>
          <w:rtl/>
        </w:rPr>
        <w:tab/>
        <w:t xml:space="preserve">הגם שבאותו סעיף 20 לכתב תשובתם, ממשיכים המשיבים וטוענים כי המבקש הינו אדם חכם ומניפולטיבי העושה, כך לטענתם, שימוש מתוחכם ונלוז במוגבלותו הנפשית, </w:t>
      </w:r>
      <w:r>
        <w:rPr>
          <w:rFonts w:ascii="David" w:hAnsi="David"/>
          <w:b/>
          <w:bCs/>
          <w:rtl/>
        </w:rPr>
        <w:t>ראוי היה לדעתי כי בית משפט קמא יערוך בירור, ולו קצר, של אותן טענות</w:t>
      </w:r>
      <w:r>
        <w:rPr>
          <w:rFonts w:ascii="David" w:hAnsi="David"/>
          <w:rtl/>
        </w:rPr>
        <w:t>.</w:t>
      </w:r>
    </w:p>
    <w:p w:rsidR="00010304" w:rsidRDefault="00924442" w:rsidP="008E4AAD">
      <w:pPr>
        <w:spacing w:after="120" w:line="360" w:lineRule="auto"/>
        <w:ind w:left="720" w:hanging="720"/>
        <w:jc w:val="both"/>
        <w:rPr>
          <w:rFonts w:ascii="David" w:hAnsi="David"/>
          <w:rtl/>
        </w:rPr>
      </w:pPr>
      <w:r>
        <w:rPr>
          <w:rFonts w:ascii="David" w:hAnsi="David"/>
          <w:rtl/>
        </w:rPr>
        <w:lastRenderedPageBreak/>
        <w:tab/>
        <w:t xml:space="preserve">בכל אופן ולצרכי הבקשה הנדונה, שוכנעתי, ולו בדוחק, לראות בנימוקי המבקש כסיבות שהצדיקו אי התגוננות במועד. </w:t>
      </w:r>
    </w:p>
    <w:p w:rsidR="00924442" w:rsidRDefault="00924442" w:rsidP="00924442">
      <w:pPr>
        <w:spacing w:after="120" w:line="360" w:lineRule="auto"/>
        <w:ind w:left="720" w:hanging="720"/>
        <w:jc w:val="both"/>
        <w:rPr>
          <w:rFonts w:ascii="David" w:hAnsi="David"/>
          <w:rtl/>
        </w:rPr>
      </w:pPr>
      <w:r>
        <w:rPr>
          <w:rFonts w:ascii="David" w:hAnsi="David"/>
          <w:rtl/>
        </w:rPr>
        <w:t>23.</w:t>
      </w:r>
      <w:r>
        <w:rPr>
          <w:rFonts w:ascii="David" w:hAnsi="David"/>
          <w:rtl/>
        </w:rPr>
        <w:tab/>
      </w:r>
      <w:r>
        <w:rPr>
          <w:rFonts w:ascii="David" w:hAnsi="David"/>
          <w:u w:val="single"/>
          <w:rtl/>
        </w:rPr>
        <w:t>באשר לסיכויי ההגנה, שיצדיקו ביטול פסק הדין מכח שיקול דעתו של בית משפט</w:t>
      </w:r>
      <w:r>
        <w:rPr>
          <w:rFonts w:ascii="David" w:hAnsi="David"/>
          <w:rtl/>
        </w:rPr>
        <w:t xml:space="preserve"> – </w:t>
      </w:r>
    </w:p>
    <w:p w:rsidR="00924442" w:rsidRDefault="00924442" w:rsidP="00924442">
      <w:pPr>
        <w:spacing w:after="120" w:line="360" w:lineRule="auto"/>
        <w:ind w:left="720"/>
        <w:jc w:val="both"/>
        <w:rPr>
          <w:rFonts w:ascii="David" w:hAnsi="David"/>
          <w:rtl/>
        </w:rPr>
      </w:pPr>
      <w:r>
        <w:rPr>
          <w:rFonts w:ascii="David" w:hAnsi="David"/>
          <w:rtl/>
        </w:rPr>
        <w:t xml:space="preserve">בבקשותיו מימים 3.5.23 ו- 10.5.23 בתיק קמא, המבקש אף העלה </w:t>
      </w:r>
      <w:r>
        <w:rPr>
          <w:rFonts w:ascii="David" w:hAnsi="David"/>
          <w:b/>
          <w:bCs/>
          <w:rtl/>
        </w:rPr>
        <w:t xml:space="preserve">טענות </w:t>
      </w:r>
      <w:r w:rsidRPr="00010304">
        <w:rPr>
          <w:rFonts w:ascii="David" w:hAnsi="David"/>
          <w:b/>
          <w:bCs/>
          <w:rtl/>
        </w:rPr>
        <w:t>בדבר סיכויי הגנתו</w:t>
      </w:r>
      <w:r>
        <w:rPr>
          <w:rFonts w:ascii="David" w:hAnsi="David"/>
          <w:rtl/>
        </w:rPr>
        <w:t xml:space="preserve"> (אשר פורטו בסעיף 9 ו-11 לעיל), אשר נדחו על ידי בית משפט קמא, אף ללא שהתבקשה, וממילא לא ניתנה, תגובות המשיבים לכך בתיק קמא.</w:t>
      </w:r>
    </w:p>
    <w:p w:rsidR="00924442" w:rsidRDefault="00924442" w:rsidP="00924442">
      <w:pPr>
        <w:spacing w:after="120" w:line="360" w:lineRule="auto"/>
        <w:ind w:left="720" w:hanging="720"/>
        <w:jc w:val="both"/>
        <w:rPr>
          <w:rFonts w:ascii="David" w:hAnsi="David"/>
          <w:b/>
          <w:bCs/>
          <w:rtl/>
        </w:rPr>
      </w:pPr>
      <w:r>
        <w:rPr>
          <w:rFonts w:ascii="David" w:hAnsi="David"/>
          <w:rtl/>
        </w:rPr>
        <w:tab/>
      </w:r>
      <w:r>
        <w:rPr>
          <w:rFonts w:ascii="David" w:hAnsi="David"/>
          <w:b/>
          <w:bCs/>
          <w:rtl/>
        </w:rPr>
        <w:t xml:space="preserve">אף בנקודה זו היה ראוי לדעתי, כי ינהל בית משפט קמא דיון בדבר סיכויי ההגנה עליהם הצביע המבקש, ואותם מבקשים המשיבים לשלול בתשובתם דנן. </w:t>
      </w:r>
    </w:p>
    <w:p w:rsidR="00924442" w:rsidRDefault="00924442" w:rsidP="00924442">
      <w:pPr>
        <w:spacing w:after="120" w:line="360" w:lineRule="auto"/>
        <w:ind w:left="720" w:hanging="720"/>
        <w:jc w:val="both"/>
        <w:rPr>
          <w:rFonts w:ascii="David" w:hAnsi="David"/>
          <w:rtl/>
        </w:rPr>
      </w:pPr>
      <w:r>
        <w:rPr>
          <w:rFonts w:ascii="David" w:hAnsi="David"/>
          <w:rtl/>
        </w:rPr>
        <w:tab/>
        <w:t>כשלעצמי, בהתחשב בטיב ובאופי התובענה קמא, ומבלי לקבוע מסמרות בדבר, סבורני כי לא ניתן</w:t>
      </w:r>
      <w:r w:rsidR="00010304">
        <w:rPr>
          <w:rFonts w:ascii="David" w:hAnsi="David"/>
          <w:rtl/>
        </w:rPr>
        <w:t xml:space="preserve"> לשלול את סיכויי ההגנה של המבקש</w:t>
      </w:r>
      <w:r w:rsidR="00010304">
        <w:rPr>
          <w:rFonts w:ascii="David" w:hAnsi="David" w:hint="cs"/>
          <w:rtl/>
        </w:rPr>
        <w:t xml:space="preserve"> </w:t>
      </w:r>
      <w:r>
        <w:rPr>
          <w:rFonts w:ascii="David" w:hAnsi="David"/>
          <w:rtl/>
        </w:rPr>
        <w:t>מניה וביה ובטרם בירור ראייתי במסגרת ההליך גופו, כפי שאף טען המבקש בתגובת</w:t>
      </w:r>
      <w:r w:rsidR="00010304">
        <w:rPr>
          <w:rFonts w:ascii="David" w:hAnsi="David"/>
          <w:rtl/>
        </w:rPr>
        <w:t>ו לבקשה להגשת ראיה נוספת בערעור</w:t>
      </w:r>
      <w:r>
        <w:rPr>
          <w:rFonts w:ascii="David" w:hAnsi="David"/>
          <w:rtl/>
        </w:rPr>
        <w:t>, עליה נעמוד מיד.</w:t>
      </w:r>
    </w:p>
    <w:p w:rsidR="00924442" w:rsidRDefault="00924442" w:rsidP="00924442">
      <w:pPr>
        <w:spacing w:after="120" w:line="360" w:lineRule="auto"/>
        <w:ind w:left="720" w:hanging="720"/>
        <w:jc w:val="both"/>
        <w:rPr>
          <w:rFonts w:ascii="David" w:hAnsi="David"/>
          <w:rtl/>
        </w:rPr>
      </w:pPr>
      <w:r>
        <w:rPr>
          <w:rFonts w:ascii="David" w:hAnsi="David"/>
          <w:rtl/>
        </w:rPr>
        <w:t>24.</w:t>
      </w:r>
      <w:r>
        <w:rPr>
          <w:rFonts w:ascii="David" w:hAnsi="David"/>
          <w:b/>
          <w:bCs/>
          <w:rtl/>
        </w:rPr>
        <w:tab/>
      </w:r>
      <w:r>
        <w:rPr>
          <w:rFonts w:ascii="David" w:hAnsi="David"/>
          <w:b/>
          <w:bCs/>
          <w:u w:val="single"/>
          <w:rtl/>
        </w:rPr>
        <w:t>באשר לבקשה הנוספת בערעור</w:t>
      </w:r>
      <w:r w:rsidR="00010304">
        <w:rPr>
          <w:rFonts w:ascii="David" w:hAnsi="David"/>
          <w:b/>
          <w:bCs/>
          <w:rtl/>
        </w:rPr>
        <w:t xml:space="preserve"> –</w:t>
      </w:r>
      <w:r>
        <w:rPr>
          <w:rFonts w:ascii="David" w:hAnsi="David"/>
          <w:rtl/>
        </w:rPr>
        <w:t xml:space="preserve"> נזכיר כי המבקש בתגובתו הותיר את ההכרעה בבקשה לשיקול דעת בית המשפט.</w:t>
      </w:r>
    </w:p>
    <w:p w:rsidR="00924442" w:rsidRDefault="00924442" w:rsidP="00924442">
      <w:pPr>
        <w:spacing w:after="120" w:line="360" w:lineRule="auto"/>
        <w:ind w:left="720"/>
        <w:jc w:val="both"/>
        <w:rPr>
          <w:rFonts w:ascii="David" w:hAnsi="David"/>
          <w:b/>
          <w:bCs/>
          <w:rtl/>
        </w:rPr>
      </w:pPr>
      <w:r>
        <w:rPr>
          <w:rFonts w:ascii="David" w:hAnsi="David"/>
          <w:rtl/>
        </w:rPr>
        <w:t xml:space="preserve">לאחר עיון בבקשה שוכנעתי לקבלהּ, בעיקר נוכח העובדה כי בבקשתם זו טענו המשיבים </w:t>
      </w:r>
      <w:r>
        <w:rPr>
          <w:rFonts w:ascii="David" w:hAnsi="David"/>
          <w:u w:val="single"/>
          <w:rtl/>
        </w:rPr>
        <w:t>טענות עובדתיות לא מעטות</w:t>
      </w:r>
      <w:r>
        <w:rPr>
          <w:rFonts w:ascii="David" w:hAnsi="David"/>
          <w:rtl/>
        </w:rPr>
        <w:t xml:space="preserve">, עד כי נראה שהמשיבים עצמם סוברים כי עסקינן לכאורה בתמונה עובדתית שאינה פשוטה, אשר לא בוררה ולא מוצתה בערכאה קמא. </w:t>
      </w:r>
      <w:r>
        <w:rPr>
          <w:rFonts w:ascii="David" w:hAnsi="David"/>
          <w:b/>
          <w:bCs/>
          <w:rtl/>
        </w:rPr>
        <w:t>אף מסיבה זו סבורני כי ראוי שבירור טענות הצדדים כולן ייערך בערכאה קמא, ובמסגרת ניהול ההליך.</w:t>
      </w:r>
    </w:p>
    <w:p w:rsidR="00924442" w:rsidRDefault="00924442" w:rsidP="00924442">
      <w:pPr>
        <w:spacing w:after="120" w:line="360" w:lineRule="auto"/>
        <w:ind w:left="720" w:hanging="720"/>
        <w:jc w:val="both"/>
        <w:rPr>
          <w:rFonts w:ascii="David" w:hAnsi="David"/>
          <w:rtl/>
        </w:rPr>
      </w:pPr>
      <w:r>
        <w:rPr>
          <w:rFonts w:ascii="David" w:hAnsi="David"/>
          <w:rtl/>
        </w:rPr>
        <w:t>25.</w:t>
      </w:r>
      <w:r>
        <w:rPr>
          <w:rFonts w:ascii="David" w:hAnsi="David"/>
          <w:b/>
          <w:bCs/>
          <w:rtl/>
        </w:rPr>
        <w:tab/>
        <w:t xml:space="preserve">לטעמי ומכל המקובץ לעיל, היה ראוי כי ייעתר בית משפט קמא לבקשות המבקש ויבטל את פסק דינו שניתן במעמד צד אחד בתיק קמא. </w:t>
      </w:r>
      <w:r>
        <w:rPr>
          <w:rFonts w:ascii="David" w:hAnsi="David"/>
          <w:rtl/>
        </w:rPr>
        <w:t xml:space="preserve">זאת אף נוכח המגמה בפסיקה להיעתר לבקשות לביטול פסק דין בהיעדר הגנה (ראו </w:t>
      </w:r>
      <w:r>
        <w:rPr>
          <w:rFonts w:ascii="David" w:hAnsi="David"/>
          <w:b/>
          <w:bCs/>
          <w:rtl/>
        </w:rPr>
        <w:t>עניין פבזנר</w:t>
      </w:r>
      <w:r>
        <w:rPr>
          <w:rFonts w:ascii="David" w:hAnsi="David"/>
          <w:rtl/>
        </w:rPr>
        <w:t xml:space="preserve"> לעיל, וגם רע"א 6730/22 </w:t>
      </w:r>
      <w:r>
        <w:rPr>
          <w:rFonts w:ascii="David" w:hAnsi="David"/>
          <w:b/>
          <w:bCs/>
          <w:rtl/>
        </w:rPr>
        <w:t>יאיר נתניהו נ' אבי אלקלעי</w:t>
      </w:r>
      <w:r>
        <w:rPr>
          <w:rFonts w:ascii="David" w:hAnsi="David"/>
          <w:rtl/>
        </w:rPr>
        <w:t xml:space="preserve"> (16.11.2022) פסקה 10).</w:t>
      </w:r>
    </w:p>
    <w:p w:rsidR="00924442" w:rsidRDefault="00924442" w:rsidP="00924442">
      <w:pPr>
        <w:spacing w:after="120" w:line="360" w:lineRule="auto"/>
        <w:ind w:left="720" w:hanging="720"/>
        <w:jc w:val="both"/>
        <w:rPr>
          <w:rFonts w:ascii="David" w:hAnsi="David"/>
          <w:b/>
          <w:bCs/>
          <w:rtl/>
        </w:rPr>
      </w:pPr>
      <w:r>
        <w:rPr>
          <w:rFonts w:ascii="David" w:hAnsi="David"/>
          <w:rtl/>
        </w:rPr>
        <w:t>26.</w:t>
      </w:r>
      <w:r>
        <w:rPr>
          <w:rFonts w:ascii="David" w:hAnsi="David"/>
          <w:b/>
          <w:bCs/>
          <w:rtl/>
        </w:rPr>
        <w:tab/>
        <w:t>במסגרת האיזון הנדרש בין זכות הגישה לערכאות (של המבקש) לבין הפגיעה הצפויה במשיבים כתוצאה מביטול פסק הדין קמא ופתיחת התיק קמא מחדש, אני מורה על ביטול פסק הדין קמא.</w:t>
      </w:r>
    </w:p>
    <w:p w:rsidR="00924442" w:rsidRDefault="00924442" w:rsidP="0095423C">
      <w:pPr>
        <w:spacing w:after="120" w:line="360" w:lineRule="auto"/>
        <w:ind w:left="720" w:hanging="720"/>
        <w:jc w:val="both"/>
        <w:rPr>
          <w:rFonts w:ascii="David" w:hAnsi="David"/>
          <w:rtl/>
        </w:rPr>
      </w:pPr>
      <w:r>
        <w:rPr>
          <w:rFonts w:ascii="David" w:hAnsi="David"/>
          <w:b/>
          <w:bCs/>
          <w:rtl/>
        </w:rPr>
        <w:tab/>
      </w:r>
      <w:r>
        <w:rPr>
          <w:rFonts w:ascii="David" w:hAnsi="David"/>
          <w:rtl/>
        </w:rPr>
        <w:t>לנוכח הבעיה הנפשית ממנה סובל המערער, גם שוכנעתי שלא להתנות הביטול בהטלת הוצאות; מאידך לא אח</w:t>
      </w:r>
      <w:r w:rsidR="00010304">
        <w:rPr>
          <w:rFonts w:ascii="David" w:hAnsi="David"/>
          <w:rtl/>
        </w:rPr>
        <w:t>ייב המשיבים בהוצאות רמ"ש זה, הג</w:t>
      </w:r>
      <w:r>
        <w:rPr>
          <w:rFonts w:ascii="David" w:hAnsi="David"/>
          <w:rtl/>
        </w:rPr>
        <w:t>ם שהתקבל</w:t>
      </w:r>
      <w:r w:rsidR="0095423C">
        <w:rPr>
          <w:rFonts w:ascii="David" w:hAnsi="David" w:hint="cs"/>
          <w:rtl/>
        </w:rPr>
        <w:t>ה</w:t>
      </w:r>
      <w:r>
        <w:rPr>
          <w:rFonts w:ascii="David" w:hAnsi="David"/>
          <w:rtl/>
        </w:rPr>
        <w:t xml:space="preserve"> במלוא</w:t>
      </w:r>
      <w:r w:rsidR="0095423C">
        <w:rPr>
          <w:rFonts w:ascii="David" w:hAnsi="David" w:hint="cs"/>
          <w:rtl/>
        </w:rPr>
        <w:t>ה</w:t>
      </w:r>
      <w:r>
        <w:rPr>
          <w:rFonts w:ascii="David" w:hAnsi="David"/>
          <w:rtl/>
        </w:rPr>
        <w:t>.</w:t>
      </w:r>
    </w:p>
    <w:p w:rsidR="00924442" w:rsidRDefault="00924442" w:rsidP="00924442">
      <w:pPr>
        <w:spacing w:after="120" w:line="360" w:lineRule="auto"/>
        <w:ind w:left="720" w:hanging="720"/>
        <w:jc w:val="both"/>
        <w:rPr>
          <w:rFonts w:ascii="David" w:hAnsi="David"/>
          <w:rtl/>
        </w:rPr>
      </w:pPr>
    </w:p>
    <w:p w:rsidR="00924442" w:rsidRDefault="00924442" w:rsidP="00924442">
      <w:pPr>
        <w:spacing w:after="120" w:line="360" w:lineRule="auto"/>
        <w:ind w:left="720" w:hanging="720"/>
        <w:jc w:val="both"/>
        <w:rPr>
          <w:rFonts w:ascii="David" w:hAnsi="David"/>
          <w:b/>
          <w:bCs/>
          <w:u w:val="single"/>
          <w:rtl/>
        </w:rPr>
      </w:pPr>
      <w:r>
        <w:rPr>
          <w:rFonts w:ascii="David" w:hAnsi="David"/>
          <w:b/>
          <w:bCs/>
          <w:u w:val="single"/>
          <w:rtl/>
        </w:rPr>
        <w:t>סוף דבר</w:t>
      </w:r>
    </w:p>
    <w:p w:rsidR="00924442" w:rsidRDefault="00924442" w:rsidP="00924442">
      <w:pPr>
        <w:spacing w:after="120" w:line="360" w:lineRule="auto"/>
        <w:ind w:left="720" w:hanging="720"/>
        <w:jc w:val="both"/>
        <w:rPr>
          <w:rFonts w:ascii="David" w:hAnsi="David"/>
          <w:b/>
          <w:bCs/>
          <w:noProof w:val="0"/>
          <w:rtl/>
        </w:rPr>
      </w:pPr>
      <w:r>
        <w:rPr>
          <w:rFonts w:ascii="David" w:hAnsi="David"/>
          <w:rtl/>
        </w:rPr>
        <w:t>27.</w:t>
      </w:r>
      <w:r>
        <w:rPr>
          <w:rFonts w:ascii="David" w:hAnsi="David"/>
          <w:rtl/>
        </w:rPr>
        <w:tab/>
      </w:r>
      <w:r>
        <w:rPr>
          <w:rFonts w:ascii="David" w:hAnsi="David"/>
          <w:b/>
          <w:bCs/>
          <w:u w:val="single"/>
          <w:rtl/>
        </w:rPr>
        <w:t>לאור כל האמור לעיל אני מורה על קבלת בקשת רשות הערעור דנן כאמור בסעיף 26 לעיל</w:t>
      </w:r>
      <w:r w:rsidRPr="00010304">
        <w:rPr>
          <w:rFonts w:ascii="David" w:hAnsi="David"/>
          <w:b/>
          <w:bCs/>
          <w:rtl/>
        </w:rPr>
        <w:t>.</w:t>
      </w:r>
    </w:p>
    <w:p w:rsidR="00924442" w:rsidRDefault="00924442" w:rsidP="00924442">
      <w:pPr>
        <w:spacing w:after="120" w:line="360" w:lineRule="auto"/>
        <w:ind w:left="720" w:hanging="720"/>
        <w:jc w:val="both"/>
        <w:rPr>
          <w:rFonts w:ascii="David" w:hAnsi="David"/>
          <w:rtl/>
        </w:rPr>
      </w:pPr>
      <w:r>
        <w:rPr>
          <w:rFonts w:ascii="David" w:hAnsi="David"/>
          <w:rtl/>
        </w:rPr>
        <w:t>28.</w:t>
      </w:r>
      <w:r>
        <w:rPr>
          <w:rFonts w:ascii="David" w:hAnsi="David"/>
          <w:rtl/>
        </w:rPr>
        <w:tab/>
        <w:t>בנסיבות דנן איני עושה צו להוצאות בבקשת רשות ערעור זו.</w:t>
      </w:r>
    </w:p>
    <w:p w:rsidR="00924442" w:rsidRDefault="00924442" w:rsidP="00924442">
      <w:pPr>
        <w:spacing w:after="120" w:line="360" w:lineRule="auto"/>
        <w:ind w:left="720" w:hanging="720"/>
        <w:jc w:val="both"/>
        <w:rPr>
          <w:rFonts w:ascii="David" w:hAnsi="David"/>
          <w:rtl/>
        </w:rPr>
      </w:pPr>
      <w:r>
        <w:rPr>
          <w:rFonts w:ascii="David" w:hAnsi="David"/>
          <w:rtl/>
        </w:rPr>
        <w:lastRenderedPageBreak/>
        <w:tab/>
        <w:t>העירבון שהופקד בתיק יוחזר למפקידו באמצעות בא כוחו.</w:t>
      </w:r>
    </w:p>
    <w:p w:rsidR="00924442" w:rsidRDefault="00924442" w:rsidP="00924442">
      <w:pPr>
        <w:spacing w:after="120" w:line="360" w:lineRule="auto"/>
        <w:ind w:left="720" w:hanging="720"/>
        <w:jc w:val="both"/>
        <w:rPr>
          <w:rFonts w:ascii="David" w:hAnsi="David"/>
          <w:rtl/>
        </w:rPr>
      </w:pPr>
    </w:p>
    <w:p w:rsidR="00924442" w:rsidRDefault="00924442" w:rsidP="00924442">
      <w:pPr>
        <w:spacing w:after="120" w:line="360" w:lineRule="auto"/>
        <w:jc w:val="both"/>
        <w:rPr>
          <w:rFonts w:ascii="David" w:hAnsi="David"/>
          <w:b/>
          <w:bCs/>
          <w:rtl/>
        </w:rPr>
      </w:pPr>
      <w:r>
        <w:rPr>
          <w:rFonts w:ascii="David" w:hAnsi="David"/>
          <w:b/>
          <w:bCs/>
          <w:rtl/>
        </w:rPr>
        <w:t>המזכירות תשלח פסק דין זה לצדדים.</w:t>
      </w:r>
    </w:p>
    <w:p w:rsidR="00924442" w:rsidRDefault="00924442" w:rsidP="00924442">
      <w:pPr>
        <w:spacing w:after="120" w:line="360" w:lineRule="auto"/>
        <w:jc w:val="both"/>
        <w:rPr>
          <w:rFonts w:ascii="David" w:hAnsi="David"/>
          <w:b/>
          <w:bCs/>
          <w:rtl/>
        </w:rPr>
      </w:pPr>
    </w:p>
    <w:p w:rsidR="00924442" w:rsidRDefault="00924442" w:rsidP="00924442">
      <w:pPr>
        <w:spacing w:after="120" w:line="360" w:lineRule="auto"/>
        <w:jc w:val="both"/>
        <w:rPr>
          <w:rFonts w:ascii="Arial" w:hAnsi="Arial"/>
          <w:noProof w:val="0"/>
          <w:rtl/>
        </w:rPr>
      </w:pPr>
      <w:r>
        <w:rPr>
          <w:rFonts w:ascii="David" w:hAnsi="David"/>
          <w:b/>
          <w:bCs/>
          <w:rtl/>
        </w:rPr>
        <w:t>פסק דין זה מותר לפרסום תוך השמטת שמות הצדדים וכל פרט מזהה אחר.</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יולי 2023</w:t>
          </w:r>
        </w:sdtContent>
      </w:sdt>
      <w:r w:rsidR="00005C8B">
        <w:rPr>
          <w:rFonts w:ascii="Arial" w:hAnsi="Arial"/>
          <w:noProof w:val="0"/>
          <w:rtl/>
        </w:rPr>
        <w:t>, בהעדר הצדדים.</w:t>
      </w:r>
    </w:p>
    <w:p w:rsidR="00C43648" w:rsidRDefault="00156D4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52411951"/>
        </w:sdtPr>
        <w:sdtEndPr/>
        <w:sdtContent>
          <w:r w:rsidR="008E5C2C">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E4AAD">
      <w:headerReference w:type="even" r:id="rId8"/>
      <w:headerReference w:type="default" r:id="rId9"/>
      <w:footerReference w:type="even" r:id="rId10"/>
      <w:footerReference w:type="default" r:id="rId11"/>
      <w:headerReference w:type="first" r:id="rId12"/>
      <w:footerReference w:type="first" r:id="rId13"/>
      <w:pgSz w:w="11907" w:h="16840" w:code="9"/>
      <w:pgMar w:top="1440" w:right="1134" w:bottom="1440" w:left="156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D43" w:rsidRDefault="00156D43">
      <w:r>
        <w:separator/>
      </w:r>
    </w:p>
  </w:endnote>
  <w:endnote w:type="continuationSeparator" w:id="0">
    <w:p w:rsidR="00156D43" w:rsidRDefault="00156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Microsoft Sans Serif"/>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6A" w:rsidRDefault="001A0D6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15D6C">
      <w:rPr>
        <w:rStyle w:val="ab"/>
        <w:rFonts w:cs="Times New Roman"/>
        <w:rtl/>
      </w:rPr>
      <w:t>10</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15D6C">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6A" w:rsidRDefault="001A0D6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D43" w:rsidRDefault="00156D43">
      <w:r>
        <w:separator/>
      </w:r>
    </w:p>
  </w:footnote>
  <w:footnote w:type="continuationSeparator" w:id="0">
    <w:p w:rsidR="00156D43" w:rsidRDefault="00156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6A" w:rsidRDefault="001A0D6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56D43" w:rsidP="00C94DFD">
          <w:pPr>
            <w:rPr>
              <w:b/>
              <w:bCs/>
              <w:noProof w:val="0"/>
              <w:sz w:val="26"/>
              <w:szCs w:val="26"/>
              <w:rtl/>
            </w:rPr>
          </w:pPr>
          <w:sdt>
            <w:sdtPr>
              <w:rPr>
                <w:rtl/>
              </w:rPr>
              <w:alias w:val="1170"/>
              <w:tag w:val="1170"/>
              <w:id w:val="1066377040"/>
              <w:text w:multiLine="1"/>
            </w:sdtPr>
            <w:sdtEndPr/>
            <w:sdtContent>
              <w:r w:rsidR="00B859C5">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12420-06-23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C94DFD">
                <w:rPr>
                  <w:rFonts w:hint="cs"/>
                  <w:b/>
                  <w:bCs/>
                  <w:noProof w:val="0"/>
                  <w:sz w:val="26"/>
                  <w:szCs w:val="26"/>
                  <w:rtl/>
                </w:rPr>
                <w:t>ו'</w:t>
              </w:r>
              <w:r w:rsidR="00B859C5">
                <w:rPr>
                  <w:b/>
                  <w:bCs/>
                  <w:noProof w:val="0"/>
                  <w:sz w:val="26"/>
                  <w:szCs w:val="26"/>
                  <w:rtl/>
                </w:rPr>
                <w:t xml:space="preserve"> נ' </w:t>
              </w:r>
              <w:r w:rsidR="00C94DFD">
                <w:rPr>
                  <w:rFonts w:hint="cs"/>
                  <w:b/>
                  <w:bCs/>
                  <w:noProof w:val="0"/>
                  <w:sz w:val="26"/>
                  <w:szCs w:val="26"/>
                  <w:rtl/>
                </w:rPr>
                <w:t>ו'</w:t>
              </w:r>
              <w:r w:rsidR="00B859C5">
                <w:rPr>
                  <w:b/>
                  <w:bCs/>
                  <w:noProof w:val="0"/>
                  <w:sz w:val="26"/>
                  <w:szCs w:val="26"/>
                  <w:rtl/>
                </w:rPr>
                <w:t xml:space="preserve">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6A" w:rsidRDefault="001A0D6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0304"/>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56D43"/>
    <w:rsid w:val="00180519"/>
    <w:rsid w:val="00191C82"/>
    <w:rsid w:val="001A0D6A"/>
    <w:rsid w:val="001C4003"/>
    <w:rsid w:val="001D4DBF"/>
    <w:rsid w:val="001E75CA"/>
    <w:rsid w:val="002265FF"/>
    <w:rsid w:val="00271B56"/>
    <w:rsid w:val="00272E32"/>
    <w:rsid w:val="002B4C2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15D6C"/>
    <w:rsid w:val="00425C2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35047"/>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8E4AAD"/>
    <w:rsid w:val="008E5C2C"/>
    <w:rsid w:val="00903896"/>
    <w:rsid w:val="00906F3D"/>
    <w:rsid w:val="00924442"/>
    <w:rsid w:val="0094424E"/>
    <w:rsid w:val="00951D5C"/>
    <w:rsid w:val="0095423C"/>
    <w:rsid w:val="00955642"/>
    <w:rsid w:val="0095687F"/>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70E1F"/>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94DFD"/>
    <w:rsid w:val="00CC7622"/>
    <w:rsid w:val="00CD608F"/>
    <w:rsid w:val="00CD636C"/>
    <w:rsid w:val="00CF6BB7"/>
    <w:rsid w:val="00D04025"/>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DF09AB"/>
    <w:rsid w:val="00E00709"/>
    <w:rsid w:val="00E1068A"/>
    <w:rsid w:val="00E25884"/>
    <w:rsid w:val="00E25B55"/>
    <w:rsid w:val="00E31C2B"/>
    <w:rsid w:val="00E5426A"/>
    <w:rsid w:val="00E54642"/>
    <w:rsid w:val="00E80CBE"/>
    <w:rsid w:val="00E9269D"/>
    <w:rsid w:val="00E962E3"/>
    <w:rsid w:val="00EB6C79"/>
    <w:rsid w:val="00EC37E9"/>
    <w:rsid w:val="00EF4392"/>
    <w:rsid w:val="00F038D8"/>
    <w:rsid w:val="00F06995"/>
    <w:rsid w:val="00F12D66"/>
    <w:rsid w:val="00F13623"/>
    <w:rsid w:val="00F44D1D"/>
    <w:rsid w:val="00F84B6D"/>
    <w:rsid w:val="00F9456B"/>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Ruller4">
    <w:name w:val="Ruller4 תו"/>
    <w:link w:val="Ruller40"/>
    <w:locked/>
    <w:rsid w:val="00924442"/>
    <w:rPr>
      <w:rFonts w:ascii="Arial TUR" w:hAnsi="Arial TUR" w:cs="FrankRuehl"/>
      <w:spacing w:val="10"/>
      <w:szCs w:val="28"/>
    </w:rPr>
  </w:style>
  <w:style w:type="paragraph" w:customStyle="1" w:styleId="Ruller40">
    <w:name w:val="Ruller4"/>
    <w:basedOn w:val="a"/>
    <w:link w:val="Ruller4"/>
    <w:rsid w:val="00924442"/>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0401306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9735E" w:rsidP="00B9735E">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Microsoft Sans Serif"/>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E28C0"/>
    <w:rsid w:val="002D02C4"/>
    <w:rsid w:val="002D12BB"/>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9735E"/>
    <w:rsid w:val="00BE6557"/>
    <w:rsid w:val="00C96C06"/>
    <w:rsid w:val="00CE1DCB"/>
    <w:rsid w:val="00D24521"/>
    <w:rsid w:val="00E31BF6"/>
    <w:rsid w:val="00E3467A"/>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9735E"/>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9735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2833</Words>
  <Characters>14165</Characters>
  <Application>Microsoft Office Word</Application>
  <DocSecurity>0</DocSecurity>
  <Lines>118</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2023-07-20T10:58:00Z</dcterms:created>
  <dcterms:modified xsi:type="dcterms:W3CDTF">2023-07-20T10:58:00Z</dcterms:modified>
</cp:coreProperties>
</file>